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758D" w:rsidP="004C75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TLIX5046 Carry out standard customs clearance practices</w:t>
      </w:r>
      <w:r>
        <w:fldChar w:fldCharType="end"/>
      </w:r>
    </w:p>
    <w:p w:rsidR="004C758D" w:rsidP="004C758D">
      <w:pPr>
        <w:pStyle w:val="Version"/>
        <w:sectPr w:rsidSect="00637B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7B62" w:rsidP="00637B62">
      <w:pPr>
        <w:pStyle w:val="SuperHeading"/>
      </w:pPr>
      <w:r w:rsidRPr="00637B62">
        <w:t>TLIX5046 Carry out standard customs clearance practices</w:t>
      </w:r>
    </w:p>
    <w:p w:rsidR="00000000" w:rsidRPr="00637B62" w:rsidP="00637B62">
      <w:pPr>
        <w:pStyle w:val="Heading1"/>
      </w:pPr>
      <w:bookmarkStart w:id="1" w:name="O_838462"/>
      <w:bookmarkEnd w:id="1"/>
      <w:r w:rsidRPr="00637B62">
        <w:t>Modification History</w:t>
      </w:r>
    </w:p>
    <w:p w:rsidR="004C758D" w:rsidP="004C758D">
      <w:pPr>
        <w:pStyle w:val="BodyText"/>
      </w:pPr>
      <w:r w:rsidRPr="00637B62">
        <w:t>Release 1. This is the first release of this unit of competency in the TLI Transport and Logistics Training Package.</w:t>
      </w:r>
    </w:p>
    <w:p w:rsidR="00000000" w:rsidRPr="00637B62" w:rsidP="00637B62">
      <w:pPr>
        <w:pStyle w:val="Heading1"/>
      </w:pPr>
      <w:bookmarkStart w:id="2" w:name="O_838463"/>
      <w:bookmarkEnd w:id="2"/>
      <w:r w:rsidRPr="00637B62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C75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B62" w:rsidP="00637B62">
            <w:pPr>
              <w:pStyle w:val="BodyText"/>
            </w:pPr>
            <w:r w:rsidRPr="00637B62">
              <w:t>This unit involves the skills and knowledge required to carry out standa</w:t>
            </w:r>
            <w:r w:rsidRPr="00637B62">
              <w:t xml:space="preserve">rd customs clearance practices in accordance with the current Australian Customs Act and amendments, as well as relevant legislative, regulatory and workplace requirements. </w:t>
            </w:r>
          </w:p>
          <w:p w:rsidR="00000000" w:rsidRPr="00637B62" w:rsidP="00637B62">
            <w:pPr>
              <w:pStyle w:val="BodyText"/>
            </w:pPr>
            <w:r w:rsidRPr="00637B62">
              <w:t xml:space="preserve">This unit applies to individuals working as a customs broker. </w:t>
            </w:r>
          </w:p>
          <w:p w:rsidR="00000000" w:rsidRPr="00637B62" w:rsidP="00637B62">
            <w:pPr>
              <w:pStyle w:val="BodyText"/>
            </w:pPr>
            <w:r w:rsidRPr="00637B62">
              <w:t xml:space="preserve">Work is undertaken </w:t>
            </w:r>
            <w:r w:rsidRPr="00637B62">
              <w:t>in a range of environments, including small to large worksites in the customs broking industry.</w:t>
            </w:r>
          </w:p>
          <w:p w:rsidR="00000000" w:rsidRPr="00637B62" w:rsidP="00637B62">
            <w:pPr>
              <w:pStyle w:val="BodyText"/>
            </w:pPr>
            <w:r w:rsidRPr="00637B62">
              <w:t>No licensing, legislative or certification requirements apply to this unit at the time of publication.</w:t>
            </w:r>
          </w:p>
        </w:tc>
      </w:tr>
    </w:tbl>
    <w:p w:rsidR="004C758D" w:rsidP="00637B62">
      <w:pPr>
        <w:pStyle w:val="BodyText"/>
      </w:pPr>
    </w:p>
    <w:p w:rsidR="004C758D" w:rsidP="00637B62">
      <w:pPr>
        <w:pStyle w:val="BodyText"/>
      </w:pPr>
    </w:p>
    <w:p w:rsidR="00000000" w:rsidRPr="00637B62" w:rsidP="00637B62">
      <w:pPr>
        <w:pStyle w:val="Heading1"/>
      </w:pPr>
      <w:bookmarkStart w:id="3" w:name="O_838464"/>
      <w:bookmarkEnd w:id="3"/>
      <w:r w:rsidRPr="00637B62">
        <w:t>Pre-requisite Unit</w:t>
      </w:r>
    </w:p>
    <w:p w:rsidR="004C758D" w:rsidP="004C758D">
      <w:pPr>
        <w:pStyle w:val="BodyText"/>
      </w:pPr>
      <w:r w:rsidRPr="00637B62">
        <w:t>Not applicable.</w:t>
      </w:r>
    </w:p>
    <w:p w:rsidR="00000000" w:rsidRPr="00637B62" w:rsidP="00637B62">
      <w:pPr>
        <w:pStyle w:val="Heading1"/>
      </w:pPr>
      <w:bookmarkStart w:id="4" w:name="O_838465"/>
      <w:bookmarkEnd w:id="4"/>
      <w:r w:rsidRPr="00637B62">
        <w:t>Competency Field</w:t>
      </w:r>
    </w:p>
    <w:p w:rsidR="004C758D" w:rsidP="004C758D">
      <w:pPr>
        <w:pStyle w:val="BodyText"/>
      </w:pPr>
      <w:r w:rsidRPr="00637B62">
        <w:t>X – Logistics</w:t>
      </w:r>
    </w:p>
    <w:p w:rsidR="00000000" w:rsidRPr="00637B62" w:rsidP="00637B62">
      <w:pPr>
        <w:pStyle w:val="Heading1"/>
      </w:pPr>
      <w:bookmarkStart w:id="5" w:name="O_838466"/>
      <w:bookmarkEnd w:id="5"/>
      <w:r w:rsidRPr="00637B62">
        <w:t>Unit Sector</w:t>
      </w:r>
    </w:p>
    <w:p w:rsidR="004C758D" w:rsidP="004C758D">
      <w:pPr>
        <w:pStyle w:val="BodyText"/>
      </w:pPr>
      <w:r w:rsidRPr="00637B62">
        <w:t>Not applicable.</w:t>
      </w:r>
    </w:p>
    <w:p w:rsidR="00000000" w:rsidRPr="00637B62" w:rsidP="00637B62">
      <w:pPr>
        <w:pStyle w:val="Heading1"/>
      </w:pPr>
      <w:bookmarkStart w:id="6" w:name="O_838467"/>
      <w:bookmarkEnd w:id="6"/>
      <w:r w:rsidRPr="00637B6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0"/>
        <w:gridCol w:w="1809"/>
        <w:gridCol w:w="1"/>
        <w:gridCol w:w="565"/>
        <w:gridCol w:w="6481"/>
      </w:tblGrid>
      <w:tr w:rsidTr="004C75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B62" w:rsidP="00637B62">
            <w:pPr>
              <w:pStyle w:val="BodyText"/>
            </w:pPr>
            <w:r w:rsidRPr="00637B62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B62">
            <w:pPr>
              <w:pStyle w:val="BodyText"/>
              <w:rPr>
                <w:lang w:val="en-NZ"/>
              </w:rPr>
            </w:pPr>
            <w:r w:rsidRPr="00637B62">
              <w:rPr>
                <w:rStyle w:val="SpecialBold"/>
              </w:rPr>
              <w:t>PERFORMANCE CRITERIA</w:t>
            </w:r>
          </w:p>
        </w:tc>
      </w:tr>
      <w:tr w:rsidTr="004C75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B62">
            <w:pPr>
              <w:pStyle w:val="BodyText"/>
              <w:rPr>
                <w:lang w:val="en-NZ"/>
              </w:rPr>
            </w:pPr>
            <w:r w:rsidRPr="00637B62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B62">
            <w:pPr>
              <w:pStyle w:val="BodyText"/>
              <w:rPr>
                <w:lang w:val="en-NZ"/>
              </w:rPr>
            </w:pPr>
            <w:r w:rsidRPr="00637B62">
              <w:t>Performance criteria describe the performance needed to demonstrate achievement of the element.</w:t>
            </w:r>
          </w:p>
        </w:tc>
      </w:tr>
      <w:tr w:rsidTr="004C75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B62" w:rsidP="00637B62">
            <w:pPr>
              <w:pStyle w:val="BodyText"/>
            </w:pPr>
            <w:r w:rsidRPr="00637B62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B62">
            <w:pPr>
              <w:pStyle w:val="BodyText"/>
              <w:rPr>
                <w:lang w:val="en-NZ"/>
              </w:rPr>
            </w:pPr>
            <w:r w:rsidRPr="00637B62">
              <w:rPr>
                <w:rStyle w:val="SpecialBold"/>
              </w:rPr>
              <w:t xml:space="preserve">Identify consignment </w:t>
            </w:r>
            <w:r w:rsidRPr="00637B62">
              <w:rPr>
                <w:rStyle w:val="SpecialBold"/>
              </w:rPr>
              <w:t>in accordance with current Australian Customs Act as amended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B62">
            <w:pPr>
              <w:pStyle w:val="BodyText"/>
              <w:rPr>
                <w:lang w:val="en-NZ"/>
              </w:rPr>
            </w:pPr>
            <w:r w:rsidRPr="00637B62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B62">
            <w:pPr>
              <w:pStyle w:val="BodyText"/>
              <w:rPr>
                <w:lang w:val="en-NZ"/>
              </w:rPr>
            </w:pPr>
            <w:r w:rsidRPr="00637B62">
              <w:t>Import consignments are identified in accordance with current Australi</w:t>
            </w:r>
            <w:r w:rsidRPr="00637B62">
              <w:t xml:space="preserve">an Customs </w:t>
            </w:r>
            <w:r w:rsidRPr="00637B62">
              <w:t xml:space="preserve">Act and customs policies and procedures </w:t>
            </w:r>
          </w:p>
        </w:tc>
      </w:tr>
      <w:tr w:rsidTr="004C75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B62">
            <w:pPr>
              <w:pStyle w:val="BodyText"/>
              <w:rPr>
                <w:lang w:val="en-NZ"/>
              </w:rPr>
            </w:pPr>
            <w:r w:rsidRPr="00637B62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B62">
            <w:pPr>
              <w:pStyle w:val="BodyText"/>
              <w:rPr>
                <w:lang w:val="en-NZ"/>
              </w:rPr>
            </w:pPr>
            <w:r w:rsidRPr="00637B62">
              <w:t>Consignments not requiring formal entry are identified and appropriate responses are implemented</w:t>
            </w:r>
          </w:p>
        </w:tc>
      </w:tr>
      <w:tr w:rsidTr="004C75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B62">
            <w:pPr>
              <w:pStyle w:val="BodyText"/>
              <w:rPr>
                <w:lang w:val="en-NZ"/>
              </w:rPr>
            </w:pPr>
            <w:r w:rsidRPr="00637B62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B62">
            <w:pPr>
              <w:pStyle w:val="BodyText"/>
              <w:rPr>
                <w:lang w:val="en-NZ"/>
              </w:rPr>
            </w:pPr>
            <w:r w:rsidRPr="00637B62">
              <w:t>Consignments requiring formal entry are identified and appropriate responses are implemented</w:t>
            </w:r>
          </w:p>
        </w:tc>
      </w:tr>
      <w:tr w:rsidTr="004C75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B62" w:rsidP="00637B62">
            <w:pPr>
              <w:pStyle w:val="BodyText"/>
            </w:pPr>
            <w:r w:rsidRPr="00637B62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B62">
            <w:pPr>
              <w:pStyle w:val="BodyText"/>
              <w:rPr>
                <w:lang w:val="en-NZ"/>
              </w:rPr>
            </w:pPr>
            <w:r w:rsidRPr="00637B62">
              <w:rPr>
                <w:rStyle w:val="SpecialBold"/>
              </w:rPr>
              <w:t>Identify and determine type of formal import declaration required and its role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B62">
            <w:pPr>
              <w:pStyle w:val="BodyText"/>
              <w:rPr>
                <w:lang w:val="en-NZ"/>
              </w:rPr>
            </w:pPr>
            <w:r w:rsidRPr="00637B62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B62">
            <w:pPr>
              <w:pStyle w:val="BodyText"/>
              <w:rPr>
                <w:lang w:val="en-NZ"/>
              </w:rPr>
            </w:pPr>
            <w:r w:rsidRPr="00637B62">
              <w:t>Goods requiring an entry for home consumption are identified</w:t>
            </w:r>
          </w:p>
        </w:tc>
      </w:tr>
      <w:tr w:rsidTr="004C75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B62">
            <w:pPr>
              <w:pStyle w:val="BodyText"/>
              <w:rPr>
                <w:lang w:val="en-NZ"/>
              </w:rPr>
            </w:pPr>
            <w:r w:rsidRPr="00637B62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B62">
            <w:pPr>
              <w:pStyle w:val="BodyText"/>
              <w:rPr>
                <w:lang w:val="en-NZ"/>
              </w:rPr>
            </w:pPr>
            <w:r w:rsidRPr="00637B62">
              <w:t>Goods requiring an entry for warehousing are identified</w:t>
            </w:r>
          </w:p>
        </w:tc>
      </w:tr>
      <w:tr w:rsidTr="004C75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B62">
            <w:pPr>
              <w:pStyle w:val="BodyText"/>
              <w:rPr>
                <w:lang w:val="en-NZ"/>
              </w:rPr>
            </w:pPr>
            <w:r w:rsidRPr="00637B62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B62">
            <w:pPr>
              <w:pStyle w:val="BodyText"/>
              <w:rPr>
                <w:lang w:val="en-NZ"/>
              </w:rPr>
            </w:pPr>
            <w:r w:rsidRPr="00637B62">
              <w:t>Goods requiring an ex warehouse entry are identified</w:t>
            </w:r>
          </w:p>
        </w:tc>
      </w:tr>
      <w:tr w:rsidTr="004C75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B62">
            <w:pPr>
              <w:pStyle w:val="BodyText"/>
              <w:rPr>
                <w:lang w:val="en-NZ"/>
              </w:rPr>
            </w:pPr>
            <w:r w:rsidRPr="00637B62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B62">
            <w:pPr>
              <w:pStyle w:val="BodyText"/>
              <w:rPr>
                <w:lang w:val="en-NZ"/>
              </w:rPr>
            </w:pPr>
            <w:r w:rsidRPr="00637B62">
              <w:t>Requirements of input fields on declarations are explained and implemented</w:t>
            </w:r>
          </w:p>
        </w:tc>
      </w:tr>
      <w:tr w:rsidTr="004C75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B62">
            <w:pPr>
              <w:pStyle w:val="BodyText"/>
              <w:rPr>
                <w:lang w:val="en-NZ"/>
              </w:rPr>
            </w:pPr>
            <w:r w:rsidRPr="00637B62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B62">
            <w:pPr>
              <w:pStyle w:val="BodyText"/>
              <w:rPr>
                <w:lang w:val="en-NZ"/>
              </w:rPr>
            </w:pPr>
            <w:r w:rsidRPr="00637B62">
              <w:t>Regulatory authority for goods required to be entered/not entered is explained and complied with</w:t>
            </w:r>
          </w:p>
        </w:tc>
      </w:tr>
      <w:tr w:rsidTr="004C75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B62" w:rsidP="00637B62">
            <w:pPr>
              <w:pStyle w:val="BodyText"/>
            </w:pPr>
            <w:r w:rsidRPr="00637B62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B62">
            <w:pPr>
              <w:pStyle w:val="BodyText"/>
              <w:rPr>
                <w:lang w:val="en-NZ"/>
              </w:rPr>
            </w:pPr>
            <w:r w:rsidRPr="00637B62">
              <w:rPr>
                <w:rStyle w:val="SpecialBold"/>
              </w:rPr>
              <w:t>Determine date of entry for home consumption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B62">
            <w:pPr>
              <w:pStyle w:val="BodyText"/>
              <w:rPr>
                <w:lang w:val="en-NZ"/>
              </w:rPr>
            </w:pPr>
            <w:r w:rsidRPr="00637B62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B62">
            <w:pPr>
              <w:pStyle w:val="BodyText"/>
              <w:rPr>
                <w:lang w:val="en-NZ"/>
              </w:rPr>
            </w:pPr>
            <w:r w:rsidRPr="00637B62">
              <w:t>Date of entry for home consumption is identified in accordance with current Australian Customs Act</w:t>
            </w:r>
          </w:p>
        </w:tc>
      </w:tr>
      <w:tr w:rsidTr="004C75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B62">
            <w:pPr>
              <w:pStyle w:val="BodyText"/>
              <w:rPr>
                <w:lang w:val="en-NZ"/>
              </w:rPr>
            </w:pPr>
            <w:r w:rsidRPr="00637B62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B62">
            <w:pPr>
              <w:pStyle w:val="BodyText"/>
              <w:rPr>
                <w:lang w:val="en-NZ"/>
              </w:rPr>
            </w:pPr>
            <w:r w:rsidRPr="00637B62">
              <w:t>Advance entry provisions of current Australian Customs Act are reviewed as required</w:t>
            </w:r>
          </w:p>
        </w:tc>
      </w:tr>
      <w:tr w:rsidTr="004C75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B62" w:rsidP="00637B62">
            <w:pPr>
              <w:pStyle w:val="BodyText"/>
            </w:pPr>
            <w:r w:rsidRPr="00637B62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B62">
            <w:pPr>
              <w:pStyle w:val="BodyText"/>
              <w:rPr>
                <w:lang w:val="en-NZ"/>
              </w:rPr>
            </w:pPr>
            <w:r w:rsidRPr="00637B62">
              <w:rPr>
                <w:rStyle w:val="SpecialBold"/>
              </w:rPr>
              <w:t>Respond to customs queries on current lodged declarations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B62">
            <w:pPr>
              <w:pStyle w:val="BodyText"/>
              <w:rPr>
                <w:lang w:val="en-NZ"/>
              </w:rPr>
            </w:pPr>
            <w:r w:rsidRPr="00637B62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B62">
            <w:pPr>
              <w:pStyle w:val="BodyText"/>
              <w:rPr>
                <w:lang w:val="en-NZ"/>
              </w:rPr>
            </w:pPr>
            <w:r w:rsidRPr="00637B62">
              <w:t>Authority for Red Line queries is identified and whether or not query is within scope is determined</w:t>
            </w:r>
          </w:p>
        </w:tc>
      </w:tr>
      <w:tr w:rsidTr="004C75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B62">
            <w:pPr>
              <w:pStyle w:val="BodyText"/>
              <w:rPr>
                <w:lang w:val="en-NZ"/>
              </w:rPr>
            </w:pPr>
            <w:r w:rsidRPr="00637B62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B62">
            <w:pPr>
              <w:pStyle w:val="BodyText"/>
              <w:rPr>
                <w:lang w:val="en-NZ"/>
              </w:rPr>
            </w:pPr>
            <w:r w:rsidRPr="00637B62">
              <w:t>Liaison is undertaken with importer to obtain required information necessary to respond</w:t>
            </w:r>
            <w:r w:rsidRPr="00637B62">
              <w:t xml:space="preserve"> to query</w:t>
            </w:r>
          </w:p>
        </w:tc>
      </w:tr>
      <w:tr w:rsidTr="004C75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B62" w:rsidP="00637B62">
            <w:pPr>
              <w:pStyle w:val="BodyText"/>
            </w:pPr>
            <w:r w:rsidRPr="00637B62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B62">
            <w:pPr>
              <w:pStyle w:val="BodyText"/>
              <w:rPr>
                <w:lang w:val="en-NZ"/>
              </w:rPr>
            </w:pPr>
            <w:r w:rsidRPr="00637B62">
              <w:rPr>
                <w:rStyle w:val="SpecialBold"/>
              </w:rPr>
              <w:t>Apply authority to deal process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B62">
            <w:pPr>
              <w:pStyle w:val="BodyText"/>
              <w:rPr>
                <w:lang w:val="en-NZ"/>
              </w:rPr>
            </w:pPr>
            <w:r w:rsidRPr="00637B62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B62">
            <w:pPr>
              <w:pStyle w:val="BodyText"/>
              <w:rPr>
                <w:lang w:val="en-NZ"/>
              </w:rPr>
            </w:pPr>
            <w:r w:rsidRPr="00637B62">
              <w:t>Consignment status in integrated cargo system is verified</w:t>
            </w:r>
          </w:p>
        </w:tc>
      </w:tr>
      <w:tr w:rsidTr="004C75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B62">
            <w:pPr>
              <w:pStyle w:val="BodyText"/>
              <w:rPr>
                <w:lang w:val="en-NZ"/>
              </w:rPr>
            </w:pPr>
            <w:r w:rsidRPr="00637B62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B62">
            <w:pPr>
              <w:pStyle w:val="BodyText"/>
              <w:rPr>
                <w:lang w:val="en-NZ"/>
              </w:rPr>
            </w:pPr>
            <w:r w:rsidRPr="00637B62">
              <w:t>Consignment is dealt with in accordance with the authority to deal</w:t>
            </w:r>
          </w:p>
        </w:tc>
      </w:tr>
      <w:tr w:rsidTr="004C75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B62" w:rsidP="00637B62">
            <w:pPr>
              <w:pStyle w:val="BodyText"/>
            </w:pPr>
            <w:r w:rsidRPr="00637B62">
              <w:rPr>
                <w:rStyle w:val="SpecialBold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B62">
            <w:pPr>
              <w:pStyle w:val="BodyText"/>
              <w:rPr>
                <w:lang w:val="en-NZ"/>
              </w:rPr>
            </w:pPr>
            <w:r w:rsidRPr="00637B62">
              <w:rPr>
                <w:rStyle w:val="SpecialBold"/>
              </w:rPr>
              <w:t>Apply process and authority required to withdraw an import declaration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B62">
            <w:pPr>
              <w:pStyle w:val="BodyText"/>
              <w:rPr>
                <w:lang w:val="en-NZ"/>
              </w:rPr>
            </w:pPr>
            <w:r w:rsidRPr="00637B62"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B62">
            <w:pPr>
              <w:pStyle w:val="BodyText"/>
              <w:rPr>
                <w:lang w:val="en-NZ"/>
              </w:rPr>
            </w:pPr>
            <w:r w:rsidRPr="00637B62">
              <w:t>Double entries are identified and withdrawn</w:t>
            </w:r>
          </w:p>
        </w:tc>
      </w:tr>
      <w:tr w:rsidTr="004C75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B62">
            <w:pPr>
              <w:pStyle w:val="BodyText"/>
              <w:rPr>
                <w:lang w:val="en-NZ"/>
              </w:rPr>
            </w:pPr>
            <w:r w:rsidRPr="00637B62"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B62">
            <w:pPr>
              <w:pStyle w:val="BodyText"/>
              <w:rPr>
                <w:lang w:val="en-NZ"/>
              </w:rPr>
            </w:pPr>
            <w:r w:rsidRPr="00637B62">
              <w:t>Other import declarations not required are withdrawn in accordance with provisions of the current Australian Customs Act and associated regulations</w:t>
            </w:r>
          </w:p>
        </w:tc>
      </w:tr>
      <w:tr w:rsidTr="004C75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B62">
            <w:pPr>
              <w:pStyle w:val="BodyText"/>
              <w:rPr>
                <w:lang w:val="en-NZ"/>
              </w:rPr>
            </w:pPr>
            <w:r w:rsidRPr="00637B62"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B62">
            <w:pPr>
              <w:pStyle w:val="BodyText"/>
              <w:rPr>
                <w:lang w:val="en-NZ"/>
              </w:rPr>
            </w:pPr>
            <w:r w:rsidRPr="00637B62">
              <w:t>Impact of withdrawal of an entry on rate of customs duty payable is interpreted</w:t>
            </w:r>
          </w:p>
        </w:tc>
      </w:tr>
      <w:tr w:rsidTr="004C75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B62" w:rsidP="00637B62">
            <w:pPr>
              <w:pStyle w:val="BodyText"/>
            </w:pPr>
            <w:r w:rsidRPr="00637B62">
              <w:rPr>
                <w:rStyle w:val="SpecialBold"/>
              </w:rPr>
              <w:t>7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B62">
            <w:pPr>
              <w:pStyle w:val="BodyText"/>
              <w:rPr>
                <w:lang w:val="en-NZ"/>
              </w:rPr>
            </w:pPr>
            <w:r w:rsidRPr="00637B62">
              <w:rPr>
                <w:rStyle w:val="SpecialBold"/>
              </w:rPr>
              <w:t>Apply customs controls on regulated premises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B62">
            <w:pPr>
              <w:pStyle w:val="BodyText"/>
              <w:rPr>
                <w:lang w:val="en-NZ"/>
              </w:rPr>
            </w:pPr>
            <w:r w:rsidRPr="00637B62">
              <w:t>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B62">
            <w:pPr>
              <w:pStyle w:val="BodyText"/>
              <w:rPr>
                <w:lang w:val="en-NZ"/>
              </w:rPr>
            </w:pPr>
            <w:r w:rsidRPr="00637B62">
              <w:t>Differentiation is made between types of regulated premises</w:t>
            </w:r>
          </w:p>
        </w:tc>
      </w:tr>
      <w:tr w:rsidTr="004C75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B62">
            <w:pPr>
              <w:pStyle w:val="BodyText"/>
              <w:rPr>
                <w:lang w:val="en-NZ"/>
              </w:rPr>
            </w:pPr>
            <w:r w:rsidRPr="00637B62">
              <w:t>7.2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B62">
            <w:pPr>
              <w:pStyle w:val="BodyText"/>
              <w:rPr>
                <w:lang w:val="en-NZ"/>
              </w:rPr>
            </w:pPr>
            <w:r w:rsidRPr="00637B62">
              <w:t>Processes applicable to movement permissions are followed</w:t>
            </w:r>
          </w:p>
        </w:tc>
      </w:tr>
      <w:tr w:rsidTr="004C75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B62">
            <w:pPr>
              <w:pStyle w:val="BodyText"/>
              <w:rPr>
                <w:lang w:val="en-NZ"/>
              </w:rPr>
            </w:pPr>
            <w:r w:rsidRPr="00637B62">
              <w:t>7.3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B62">
            <w:pPr>
              <w:pStyle w:val="BodyText"/>
              <w:rPr>
                <w:lang w:val="en-NZ"/>
              </w:rPr>
            </w:pPr>
            <w:r w:rsidRPr="00637B62">
              <w:t>Fit and proper person check is explained</w:t>
            </w:r>
          </w:p>
        </w:tc>
      </w:tr>
      <w:tr w:rsidTr="004C75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B62">
            <w:pPr>
              <w:pStyle w:val="BodyText"/>
              <w:rPr>
                <w:lang w:val="en-NZ"/>
              </w:rPr>
            </w:pPr>
            <w:r w:rsidRPr="00637B62">
              <w:t>7.4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B62">
            <w:pPr>
              <w:pStyle w:val="BodyText"/>
              <w:rPr>
                <w:lang w:val="en-NZ"/>
              </w:rPr>
            </w:pPr>
            <w:r w:rsidRPr="00637B62">
              <w:t>Security and access requirements for a regulated premise are complied with</w:t>
            </w:r>
          </w:p>
        </w:tc>
      </w:tr>
      <w:tr w:rsidTr="004C75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B62">
            <w:pPr>
              <w:pStyle w:val="BodyText"/>
              <w:rPr>
                <w:lang w:val="en-NZ"/>
              </w:rPr>
            </w:pPr>
            <w:r w:rsidRPr="00637B62">
              <w:t>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B62">
            <w:pPr>
              <w:pStyle w:val="BodyText"/>
              <w:rPr>
                <w:lang w:val="en-NZ"/>
              </w:rPr>
            </w:pPr>
            <w:r w:rsidRPr="00637B62">
              <w:t xml:space="preserve">Other licence conditions for a regulated premise are interpreted and applied </w:t>
            </w:r>
          </w:p>
        </w:tc>
      </w:tr>
      <w:tr w:rsidTr="004C75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B62">
            <w:pPr>
              <w:pStyle w:val="BodyText"/>
              <w:rPr>
                <w:lang w:val="en-NZ"/>
              </w:rPr>
            </w:pPr>
            <w:r w:rsidRPr="00637B62">
              <w:t>7.6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B62">
            <w:pPr>
              <w:pStyle w:val="BodyText"/>
              <w:rPr>
                <w:lang w:val="en-NZ"/>
              </w:rPr>
            </w:pPr>
            <w:r w:rsidRPr="00637B62">
              <w:t>Requirements of failure to comply with licence conditions are explained to licence holder</w:t>
            </w:r>
          </w:p>
        </w:tc>
      </w:tr>
      <w:tr w:rsidTr="004C75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B62" w:rsidP="00637B62">
            <w:pPr>
              <w:pStyle w:val="BodyText"/>
            </w:pPr>
            <w:r w:rsidRPr="00637B62">
              <w:rPr>
                <w:rStyle w:val="SpecialBold"/>
              </w:rPr>
              <w:t>8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B62">
            <w:pPr>
              <w:pStyle w:val="BodyText"/>
              <w:rPr>
                <w:lang w:val="en-NZ"/>
              </w:rPr>
            </w:pPr>
            <w:r w:rsidRPr="00637B62">
              <w:rPr>
                <w:rStyle w:val="SpecialBold"/>
              </w:rPr>
              <w:t>Manage information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B62">
            <w:pPr>
              <w:pStyle w:val="BodyText"/>
              <w:rPr>
                <w:lang w:val="en-NZ"/>
              </w:rPr>
            </w:pPr>
            <w:r w:rsidRPr="00637B62">
              <w:t>8.1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B62">
            <w:pPr>
              <w:pStyle w:val="BodyText"/>
              <w:rPr>
                <w:lang w:val="en-NZ"/>
              </w:rPr>
            </w:pPr>
            <w:r w:rsidRPr="00637B62">
              <w:t>Records are stored in accordance with regulatory requirements and workplace procedures</w:t>
            </w:r>
          </w:p>
        </w:tc>
      </w:tr>
      <w:tr w:rsidTr="004C75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B62">
            <w:pPr>
              <w:pStyle w:val="BodyText"/>
              <w:rPr>
                <w:lang w:val="en-NZ"/>
              </w:rPr>
            </w:pPr>
            <w:r w:rsidRPr="00637B62">
              <w:t>8.2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B62">
            <w:pPr>
              <w:pStyle w:val="BodyText"/>
              <w:rPr>
                <w:lang w:val="en-NZ"/>
              </w:rPr>
            </w:pPr>
            <w:r w:rsidRPr="00637B62">
              <w:t>Contingency plans for software application system are outlined and implemented in accordance with customs and workplace procedures and requirements</w:t>
            </w:r>
          </w:p>
        </w:tc>
      </w:tr>
      <w:tr w:rsidTr="004C75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B62" w:rsidP="00637B62">
            <w:pPr>
              <w:pStyle w:val="BodyText"/>
            </w:pPr>
            <w:r w:rsidRPr="00637B62">
              <w:rPr>
                <w:rStyle w:val="SpecialBold"/>
              </w:rPr>
              <w:t>9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B62">
            <w:pPr>
              <w:pStyle w:val="BodyText"/>
              <w:rPr>
                <w:lang w:val="en-NZ"/>
              </w:rPr>
            </w:pPr>
            <w:r w:rsidRPr="00637B62">
              <w:rPr>
                <w:rStyle w:val="SpecialBold"/>
              </w:rPr>
              <w:t>Comply with excisable and excise equivalent goods requirements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B62">
            <w:pPr>
              <w:pStyle w:val="BodyText"/>
              <w:rPr>
                <w:lang w:val="en-NZ"/>
              </w:rPr>
            </w:pPr>
            <w:r w:rsidRPr="00637B62">
              <w:t>9.1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B62">
            <w:pPr>
              <w:pStyle w:val="BodyText"/>
              <w:rPr>
                <w:lang w:val="en-NZ"/>
              </w:rPr>
            </w:pPr>
            <w:r w:rsidRPr="00637B62">
              <w:t>Excisable goods are identified</w:t>
            </w:r>
          </w:p>
        </w:tc>
      </w:tr>
      <w:tr w:rsidTr="004C75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B62">
            <w:pPr>
              <w:pStyle w:val="BodyText"/>
              <w:rPr>
                <w:lang w:val="en-NZ"/>
              </w:rPr>
            </w:pPr>
            <w:r w:rsidRPr="00637B62">
              <w:t>9.2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B62">
            <w:pPr>
              <w:pStyle w:val="BodyText"/>
              <w:rPr>
                <w:lang w:val="en-NZ"/>
              </w:rPr>
            </w:pPr>
            <w:r w:rsidRPr="00637B62">
              <w:t>Excise equivalent goods are identified</w:t>
            </w:r>
          </w:p>
        </w:tc>
      </w:tr>
      <w:tr w:rsidTr="004C75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7B62">
            <w:pPr>
              <w:pStyle w:val="BodyText"/>
              <w:rPr>
                <w:lang w:val="en-NZ"/>
              </w:rPr>
            </w:pPr>
            <w:r w:rsidRPr="00637B62">
              <w:t>9.3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7B62" w:rsidP="00637B62">
            <w:pPr>
              <w:pStyle w:val="BodyText"/>
            </w:pPr>
            <w:r w:rsidRPr="00637B62">
              <w:t>Reporting requirements for excisable and excise equivalent goods are followed</w:t>
            </w:r>
          </w:p>
        </w:tc>
      </w:tr>
    </w:tbl>
    <w:p w:rsidR="004C758D" w:rsidP="00637B62">
      <w:pPr>
        <w:pStyle w:val="BodyText"/>
      </w:pPr>
    </w:p>
    <w:p w:rsidR="004C758D" w:rsidP="00637B62">
      <w:pPr>
        <w:pStyle w:val="BodyText"/>
      </w:pPr>
    </w:p>
    <w:p w:rsidR="00000000" w:rsidRPr="00637B62" w:rsidP="00637B62">
      <w:pPr>
        <w:pStyle w:val="Heading1"/>
      </w:pPr>
      <w:bookmarkStart w:id="7" w:name="O_838468"/>
      <w:bookmarkEnd w:id="7"/>
      <w:r w:rsidRPr="00637B62">
        <w:t>Foundation Skills</w:t>
      </w:r>
    </w:p>
    <w:p w:rsidR="004C758D" w:rsidP="004C758D">
      <w:pPr>
        <w:pStyle w:val="BodyText"/>
      </w:pPr>
      <w:r w:rsidRPr="00637B62">
        <w:t>Foundation skills essential to performance are explicit in the performance criteria of this un</w:t>
      </w:r>
      <w:r w:rsidRPr="00637B62">
        <w:t>it of competency.</w:t>
      </w:r>
    </w:p>
    <w:p w:rsidR="00000000" w:rsidRPr="00637B62" w:rsidP="00637B62">
      <w:pPr>
        <w:pStyle w:val="Heading1"/>
      </w:pPr>
      <w:bookmarkStart w:id="8" w:name="O_838469"/>
      <w:bookmarkEnd w:id="8"/>
      <w:r w:rsidRPr="00637B62">
        <w:t>Range of Conditions</w:t>
      </w:r>
    </w:p>
    <w:p w:rsidR="00000000" w:rsidRPr="00637B62" w:rsidP="004C758D">
      <w:pPr>
        <w:pStyle w:val="BodyText"/>
      </w:pPr>
      <w:r w:rsidRPr="00637B62">
        <w:t>Range is restricted to essential operating conditions and any other variables essential to the work environment.</w:t>
      </w:r>
    </w:p>
    <w:p w:rsidR="004C758D" w:rsidP="004C758D">
      <w:pPr>
        <w:pStyle w:val="BodyText"/>
      </w:pPr>
      <w:r w:rsidRPr="00637B62">
        <w:t>Non-essential conditions can be found in the Companion Volume Implementation Guide.</w:t>
      </w:r>
    </w:p>
    <w:p w:rsidR="00000000" w:rsidRPr="00637B62" w:rsidP="00637B62">
      <w:pPr>
        <w:pStyle w:val="Heading1"/>
      </w:pPr>
      <w:bookmarkStart w:id="9" w:name="O_838470"/>
      <w:bookmarkEnd w:id="9"/>
      <w:r w:rsidRPr="00637B62">
        <w:t>Unit Mapping Information</w:t>
      </w:r>
    </w:p>
    <w:p w:rsidR="004C758D" w:rsidP="004C758D">
      <w:pPr>
        <w:pStyle w:val="BodyText"/>
      </w:pPr>
      <w:r w:rsidRPr="00637B62">
        <w:t>This unit replaces and is equivalent to TLIX5046A Carry out standard customs clearance practices.</w:t>
      </w:r>
    </w:p>
    <w:p w:rsidR="00000000" w:rsidRPr="00637B62" w:rsidP="00637B62">
      <w:pPr>
        <w:pStyle w:val="Heading1"/>
      </w:pPr>
      <w:bookmarkStart w:id="10" w:name="O_838477"/>
      <w:bookmarkEnd w:id="10"/>
      <w:r w:rsidRPr="00637B62">
        <w:t>Links</w:t>
      </w:r>
    </w:p>
    <w:p w:rsidR="00000000" w:rsidRPr="00637B62" w:rsidP="004C758D">
      <w:pPr>
        <w:pStyle w:val="BodyText"/>
      </w:pPr>
      <w:r w:rsidRPr="00637B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C4C6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37B62" w:rsidP="00637B62"/>
    <w:sectPr w:rsidSect="00637B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B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B62" w:rsidRPr="004C758D" w:rsidP="004C75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B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58D" w:rsidP="00637B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758D" w:rsidP="00637B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C758D" w:rsidP="00637B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B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5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7B62" w:rsidRPr="004C758D" w:rsidP="004C75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B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58D" w:rsidRPr="002D2AF8" w:rsidP="00637B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TLIX5046 Carry out standard customs clearance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July 2022</w:t>
    </w:r>
    <w:r>
      <w:fldChar w:fldCharType="end"/>
    </w:r>
  </w:p>
  <w:p w:rsidR="004C758D" w:rsidP="00637B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7B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7B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7B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7B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7B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7B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7B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7B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7B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7B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7B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7B62"/>
  </w:style>
  <w:style w:type="character" w:customStyle="1" w:styleId="Heading1Char">
    <w:name w:val="Heading 1 Char"/>
    <w:basedOn w:val="DefaultParagraphFont"/>
    <w:link w:val="Heading1"/>
    <w:rsid w:val="00637B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7B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7B6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37B62"/>
    <w:rPr>
      <w:b/>
      <w:spacing w:val="0"/>
    </w:rPr>
  </w:style>
  <w:style w:type="paragraph" w:customStyle="1" w:styleId="SuperHeading">
    <w:name w:val="SuperHeading"/>
    <w:basedOn w:val="Normal"/>
    <w:rsid w:val="00637B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7B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7B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7B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7B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7B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7B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7B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7B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7B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7B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7B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7B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7B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7B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7B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7B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7B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7B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7B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7B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37B6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37B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7B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7B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7B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7B6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7B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7B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7B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7B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7B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7B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7B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7B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7B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7B62"/>
    <w:rPr>
      <w:i/>
    </w:rPr>
  </w:style>
  <w:style w:type="paragraph" w:styleId="Caption">
    <w:name w:val="caption"/>
    <w:basedOn w:val="BodyText"/>
    <w:next w:val="Normal"/>
    <w:qFormat/>
    <w:rsid w:val="00637B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7B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7B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7B62"/>
  </w:style>
  <w:style w:type="paragraph" w:styleId="TableofFigures">
    <w:name w:val="table of figures"/>
    <w:basedOn w:val="Normal"/>
    <w:next w:val="Normal"/>
    <w:semiHidden/>
    <w:rsid w:val="00637B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7B6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37B62"/>
    <w:rPr>
      <w:rFonts w:ascii="Wingdings" w:hAnsi="Wingdings"/>
    </w:rPr>
  </w:style>
  <w:style w:type="paragraph" w:customStyle="1" w:styleId="TableHeading">
    <w:name w:val="Table Heading"/>
    <w:basedOn w:val="HeadingBase"/>
    <w:rsid w:val="00637B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7B62"/>
    <w:rPr>
      <w:color w:val="0033CC"/>
      <w:u w:val="none"/>
    </w:rPr>
  </w:style>
  <w:style w:type="paragraph" w:customStyle="1" w:styleId="BodyTextRight">
    <w:name w:val="Body Text Right"/>
    <w:basedOn w:val="BodyText"/>
    <w:rsid w:val="00637B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7B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7B6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7B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7B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7B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7B62"/>
    <w:rPr>
      <w:sz w:val="32"/>
    </w:rPr>
  </w:style>
  <w:style w:type="paragraph" w:customStyle="1" w:styleId="HeadingProcedure">
    <w:name w:val="Heading Procedure"/>
    <w:basedOn w:val="HeadingBase"/>
    <w:next w:val="Normal"/>
    <w:rsid w:val="00637B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7B62"/>
    <w:pPr>
      <w:spacing w:before="60" w:after="60"/>
    </w:pPr>
  </w:style>
  <w:style w:type="paragraph" w:styleId="ListContinue">
    <w:name w:val="List Continue"/>
    <w:basedOn w:val="List"/>
    <w:rsid w:val="00637B62"/>
    <w:pPr>
      <w:ind w:firstLine="0"/>
    </w:pPr>
  </w:style>
  <w:style w:type="paragraph" w:customStyle="1" w:styleId="ListNote">
    <w:name w:val="List Note"/>
    <w:basedOn w:val="List"/>
    <w:rsid w:val="00637B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7B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7B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7B62"/>
    <w:rPr>
      <w:rFonts w:ascii="Courier New" w:hAnsi="Courier New"/>
    </w:rPr>
  </w:style>
  <w:style w:type="paragraph" w:customStyle="1" w:styleId="NoteBullet">
    <w:name w:val="Note Bullet"/>
    <w:basedOn w:val="Note"/>
    <w:rsid w:val="00637B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7B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7B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7B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7B6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37B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7B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7B62"/>
    <w:rPr>
      <w:b/>
      <w:smallCaps/>
    </w:rPr>
  </w:style>
  <w:style w:type="paragraph" w:customStyle="1" w:styleId="TableListNumber">
    <w:name w:val="Table List Number"/>
    <w:basedOn w:val="ListNumber"/>
    <w:rsid w:val="00637B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7B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7B62"/>
    <w:pPr>
      <w:numPr>
        <w:numId w:val="7"/>
      </w:numPr>
    </w:pPr>
  </w:style>
  <w:style w:type="paragraph" w:customStyle="1" w:styleId="ListAlpha2">
    <w:name w:val="List Alpha 2"/>
    <w:basedOn w:val="List2"/>
    <w:rsid w:val="00637B62"/>
    <w:pPr>
      <w:numPr>
        <w:numId w:val="6"/>
      </w:numPr>
    </w:pPr>
  </w:style>
  <w:style w:type="paragraph" w:styleId="List2">
    <w:name w:val="List 2"/>
    <w:basedOn w:val="BodyText"/>
    <w:rsid w:val="00637B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7B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7B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7B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7B6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7B6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37B62"/>
    <w:pPr>
      <w:numPr>
        <w:numId w:val="2"/>
      </w:numPr>
    </w:pPr>
  </w:style>
  <w:style w:type="paragraph" w:styleId="ListContinue2">
    <w:name w:val="List Continue 2"/>
    <w:basedOn w:val="List2"/>
    <w:rsid w:val="00637B62"/>
    <w:pPr>
      <w:ind w:firstLine="0"/>
    </w:pPr>
  </w:style>
  <w:style w:type="paragraph" w:styleId="ListContinue3">
    <w:name w:val="List Continue 3"/>
    <w:basedOn w:val="List3"/>
    <w:rsid w:val="00637B62"/>
    <w:pPr>
      <w:ind w:left="1021" w:firstLine="0"/>
    </w:pPr>
  </w:style>
  <w:style w:type="paragraph" w:styleId="ListContinue4">
    <w:name w:val="List Continue 4"/>
    <w:basedOn w:val="List4"/>
    <w:rsid w:val="00637B62"/>
    <w:pPr>
      <w:ind w:firstLine="0"/>
    </w:pPr>
  </w:style>
  <w:style w:type="paragraph" w:styleId="ListContinue5">
    <w:name w:val="List Continue 5"/>
    <w:basedOn w:val="List5"/>
    <w:rsid w:val="00637B62"/>
    <w:pPr>
      <w:ind w:firstLine="0"/>
    </w:pPr>
  </w:style>
  <w:style w:type="paragraph" w:styleId="ListNumber3">
    <w:name w:val="List Number 3"/>
    <w:basedOn w:val="List3"/>
    <w:rsid w:val="00637B62"/>
    <w:pPr>
      <w:numPr>
        <w:numId w:val="3"/>
      </w:numPr>
    </w:pPr>
  </w:style>
  <w:style w:type="paragraph" w:styleId="ListNumber4">
    <w:name w:val="List Number 4"/>
    <w:basedOn w:val="List4"/>
    <w:rsid w:val="00637B62"/>
    <w:pPr>
      <w:numPr>
        <w:numId w:val="4"/>
      </w:numPr>
    </w:pPr>
  </w:style>
  <w:style w:type="paragraph" w:styleId="ListNumber5">
    <w:name w:val="List Number 5"/>
    <w:basedOn w:val="List5"/>
    <w:rsid w:val="00637B62"/>
    <w:pPr>
      <w:numPr>
        <w:numId w:val="5"/>
      </w:numPr>
    </w:pPr>
  </w:style>
  <w:style w:type="paragraph" w:styleId="BlockText">
    <w:name w:val="Block Text"/>
    <w:basedOn w:val="Normal"/>
    <w:rsid w:val="00637B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7B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7B62"/>
    <w:rPr>
      <w:sz w:val="16"/>
      <w:vertAlign w:val="superscript"/>
    </w:rPr>
  </w:style>
  <w:style w:type="character" w:customStyle="1" w:styleId="Symbols">
    <w:name w:val="Symbols"/>
    <w:basedOn w:val="DefaultParagraphFont"/>
    <w:rsid w:val="00637B62"/>
    <w:rPr>
      <w:rFonts w:ascii="Symbol" w:hAnsi="Symbol"/>
    </w:rPr>
  </w:style>
  <w:style w:type="character" w:customStyle="1" w:styleId="MenuOptions">
    <w:name w:val="Menu Options"/>
    <w:basedOn w:val="DefaultParagraphFont"/>
    <w:rsid w:val="00637B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7B62"/>
    <w:rPr>
      <w:b/>
    </w:rPr>
  </w:style>
  <w:style w:type="character" w:customStyle="1" w:styleId="Underlined">
    <w:name w:val="Underlined"/>
    <w:basedOn w:val="DefaultParagraphFont"/>
    <w:rsid w:val="00637B62"/>
    <w:rPr>
      <w:u w:val="single"/>
    </w:rPr>
  </w:style>
  <w:style w:type="paragraph" w:customStyle="1" w:styleId="TableBodyTextRight">
    <w:name w:val="Table Body Text Right"/>
    <w:basedOn w:val="TableBodyText"/>
    <w:rsid w:val="00637B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7B62"/>
    <w:rPr>
      <w:sz w:val="18"/>
    </w:rPr>
  </w:style>
  <w:style w:type="paragraph" w:customStyle="1" w:styleId="BodySmallRight">
    <w:name w:val="Body Small Right"/>
    <w:basedOn w:val="BodyTextRight"/>
    <w:rsid w:val="00637B62"/>
    <w:rPr>
      <w:sz w:val="18"/>
      <w:szCs w:val="18"/>
    </w:rPr>
  </w:style>
  <w:style w:type="paragraph" w:customStyle="1" w:styleId="MarginEdition">
    <w:name w:val="Margin Edition"/>
    <w:basedOn w:val="MarginNote"/>
    <w:rsid w:val="00637B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7B62"/>
    <w:rPr>
      <w:sz w:val="2"/>
      <w:szCs w:val="2"/>
    </w:rPr>
  </w:style>
  <w:style w:type="character" w:customStyle="1" w:styleId="Small">
    <w:name w:val="Small"/>
    <w:basedOn w:val="DefaultParagraphFont"/>
    <w:rsid w:val="00637B62"/>
    <w:rPr>
      <w:sz w:val="16"/>
    </w:rPr>
  </w:style>
  <w:style w:type="paragraph" w:customStyle="1" w:styleId="WideTable">
    <w:name w:val="Wide Table"/>
    <w:basedOn w:val="Normal"/>
    <w:rsid w:val="00637B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7B62"/>
  </w:style>
  <w:style w:type="paragraph" w:styleId="Quote">
    <w:name w:val="Quote"/>
    <w:basedOn w:val="Heading1"/>
    <w:link w:val="QuoteChar"/>
    <w:qFormat/>
    <w:rsid w:val="00637B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7B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7B62"/>
    <w:pPr>
      <w:pageBreakBefore/>
    </w:pPr>
  </w:style>
  <w:style w:type="paragraph" w:customStyle="1" w:styleId="Border">
    <w:name w:val="Border"/>
    <w:basedOn w:val="Normal"/>
    <w:qFormat/>
    <w:rsid w:val="00637B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7B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7B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7B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7B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7B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7B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7B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7B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7B62"/>
    <w:rPr>
      <w:u w:val="single"/>
    </w:rPr>
  </w:style>
  <w:style w:type="character" w:customStyle="1" w:styleId="BoldandItalics">
    <w:name w:val="Bold and Italics"/>
    <w:qFormat/>
    <w:rsid w:val="00637B62"/>
    <w:rPr>
      <w:b/>
      <w:i/>
      <w:u w:val="none"/>
    </w:rPr>
  </w:style>
  <w:style w:type="paragraph" w:styleId="BalloonText">
    <w:name w:val="Balloon Text"/>
    <w:basedOn w:val="Normal"/>
    <w:link w:val="BalloonTextChar"/>
    <w:rsid w:val="00637B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7B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7B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7B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7B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7B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7B62"/>
    <w:pPr>
      <w:spacing w:before="0" w:after="0"/>
    </w:pPr>
  </w:style>
  <w:style w:type="paragraph" w:customStyle="1" w:styleId="BodyTextBold">
    <w:name w:val="Body Text Bold"/>
    <w:basedOn w:val="BodyText"/>
    <w:qFormat/>
    <w:rsid w:val="00637B62"/>
    <w:rPr>
      <w:b/>
    </w:rPr>
  </w:style>
  <w:style w:type="character" w:styleId="Hyperlink">
    <w:name w:val="Hyperlink"/>
    <w:basedOn w:val="DefaultParagraphFont"/>
    <w:uiPriority w:val="99"/>
    <w:unhideWhenUsed/>
    <w:rsid w:val="004C75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681</Words>
  <Characters>4121</Characters>
  <Application>Microsoft Office Word</Application>
  <DocSecurity>0</DocSecurity>
  <Lines>216</Lines>
  <Paragraphs>126</Paragraphs>
  <ScaleCrop>false</ScaleCrop>
  <Company>Author-it Software Corporation Ltd.</Company>
  <LinksUpToDate>false</LinksUpToDate>
  <CharactersWithSpaces>4676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TLIX5046 Carry out standard customs clearance practices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2022-07-26T14:00:00Z</dcterms:created>
  <dcterms:modified xsi:type="dcterms:W3CDTF">2022-07-26T14:00:00Z</dcterms:modified>
</cp:coreProperties>
</file>