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547" w:rsidP="00866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TLIX5044 Organise health support operations</w:t>
      </w:r>
      <w:r>
        <w:fldChar w:fldCharType="end"/>
      </w:r>
    </w:p>
    <w:p w:rsidR="00866547" w:rsidP="00866547">
      <w:pPr>
        <w:pStyle w:val="Version"/>
        <w:sectPr w:rsidSect="00CE6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AD0" w:rsidP="00CE6AD0">
      <w:pPr>
        <w:pStyle w:val="SuperHeading"/>
      </w:pPr>
      <w:r w:rsidRPr="00CE6AD0">
        <w:t>TLIX5044 Organise health support operations</w:t>
      </w:r>
    </w:p>
    <w:p w:rsidR="00000000" w:rsidRPr="00CE6AD0" w:rsidP="00CE6AD0">
      <w:pPr>
        <w:pStyle w:val="Heading1"/>
      </w:pPr>
      <w:bookmarkStart w:id="1" w:name="O_755171"/>
      <w:bookmarkEnd w:id="1"/>
      <w:r w:rsidRPr="00CE6AD0">
        <w:t>Modification History</w:t>
      </w:r>
    </w:p>
    <w:p w:rsidR="00866547" w:rsidP="00866547">
      <w:pPr>
        <w:pStyle w:val="BodyText"/>
      </w:pPr>
      <w:r w:rsidRPr="00CE6AD0">
        <w:t>Release 1. This is the first release of this unit of competency in the TLI Transport and Logistics Training Package.</w:t>
      </w:r>
    </w:p>
    <w:p w:rsidR="00000000" w:rsidRPr="00CE6AD0" w:rsidP="00CE6AD0">
      <w:pPr>
        <w:pStyle w:val="Heading1"/>
      </w:pPr>
      <w:bookmarkStart w:id="2" w:name="O_755172"/>
      <w:bookmarkEnd w:id="2"/>
      <w:r w:rsidRPr="00CE6AD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AD0" w:rsidP="00CE6AD0">
            <w:pPr>
              <w:pStyle w:val="BodyText"/>
            </w:pPr>
            <w:r w:rsidRPr="00CE6AD0">
              <w:t>This unit involves the skills and knowledge required to organise health support operatio</w:t>
            </w:r>
            <w:r w:rsidRPr="00CE6AD0">
              <w:t xml:space="preserve">ns in a field deployment context in support of operations, in accordance with relevant organisational policy and procedures. </w:t>
            </w:r>
          </w:p>
          <w:p w:rsidR="00000000" w:rsidRPr="00CE6AD0" w:rsidP="00CE6AD0">
            <w:pPr>
              <w:pStyle w:val="BodyText"/>
            </w:pPr>
            <w:r w:rsidRPr="00CE6AD0">
              <w:t>This unit is applicable to logistics personnel responsible for organising and managing the delivery of health support in a field d</w:t>
            </w:r>
            <w:r w:rsidRPr="00CE6AD0">
              <w:t>eployment context.</w:t>
            </w:r>
          </w:p>
          <w:p w:rsidR="00000000" w:rsidRPr="00CE6AD0" w:rsidP="00CE6AD0">
            <w:pPr>
              <w:pStyle w:val="BodyText"/>
            </w:pPr>
            <w:r w:rsidRPr="00CE6AD0">
              <w:t>People who undertake this unit will usually be a clinician or a health care provider. This role requires management and leadership skills.</w:t>
            </w:r>
          </w:p>
          <w:p w:rsidR="00000000" w:rsidRPr="00CE6AD0" w:rsidP="00CE6AD0">
            <w:pPr>
              <w:pStyle w:val="BodyText"/>
            </w:pPr>
            <w:r w:rsidRPr="00CE6AD0">
              <w:t xml:space="preserve">Health elements may be comprised of a range of health capability from different disciplines (such </w:t>
            </w:r>
            <w:r w:rsidRPr="00CE6AD0">
              <w:t xml:space="preserve">as dental, pathology, surgical), which, when brought together, form a comprehensive health support organisation. The composition of this health support organisation will be guided by the type and scale of operation. </w:t>
            </w:r>
          </w:p>
          <w:p w:rsidR="00000000" w:rsidRPr="00CE6AD0" w:rsidP="00CE6AD0">
            <w:pPr>
              <w:pStyle w:val="BodyText"/>
            </w:pPr>
            <w:r w:rsidRPr="00CE6AD0">
              <w:t>No licensing, legislative or certificat</w:t>
            </w:r>
            <w:r w:rsidRPr="00CE6AD0">
              <w:t>ion requirements apply to this unit at the time of publication.</w:t>
            </w:r>
          </w:p>
        </w:tc>
      </w:tr>
    </w:tbl>
    <w:p w:rsidR="00866547" w:rsidP="00CE6AD0">
      <w:pPr>
        <w:pStyle w:val="BodyText"/>
      </w:pPr>
    </w:p>
    <w:p w:rsidR="00866547" w:rsidP="00CE6AD0">
      <w:pPr>
        <w:pStyle w:val="BodyText"/>
      </w:pPr>
    </w:p>
    <w:p w:rsidR="00000000" w:rsidRPr="00CE6AD0" w:rsidP="00CE6AD0">
      <w:pPr>
        <w:pStyle w:val="Heading1"/>
      </w:pPr>
      <w:bookmarkStart w:id="3" w:name="O_755173"/>
      <w:bookmarkEnd w:id="3"/>
      <w:r w:rsidRPr="00CE6AD0">
        <w:t>Pre-requisite Unit</w:t>
      </w:r>
    </w:p>
    <w:p w:rsidR="00866547" w:rsidP="00866547">
      <w:pPr>
        <w:pStyle w:val="BodyText"/>
      </w:pPr>
      <w:r w:rsidRPr="00CE6AD0">
        <w:t>Not applicable.</w:t>
      </w:r>
    </w:p>
    <w:p w:rsidR="00000000" w:rsidRPr="00CE6AD0" w:rsidP="00CE6AD0">
      <w:pPr>
        <w:pStyle w:val="Heading1"/>
      </w:pPr>
      <w:bookmarkStart w:id="4" w:name="O_755174"/>
      <w:bookmarkEnd w:id="4"/>
      <w:r w:rsidRPr="00CE6AD0">
        <w:t>Competency Field</w:t>
      </w:r>
    </w:p>
    <w:p w:rsidR="00866547" w:rsidP="00866547">
      <w:pPr>
        <w:pStyle w:val="BodyText"/>
      </w:pPr>
      <w:r w:rsidRPr="00CE6AD0">
        <w:t>X – Logistics</w:t>
      </w:r>
    </w:p>
    <w:p w:rsidR="00000000" w:rsidRPr="00CE6AD0" w:rsidP="00CE6AD0">
      <w:pPr>
        <w:pStyle w:val="Heading1"/>
      </w:pPr>
      <w:bookmarkStart w:id="5" w:name="O_755175"/>
      <w:bookmarkEnd w:id="5"/>
      <w:r w:rsidRPr="00CE6AD0">
        <w:t>Unit Sector</w:t>
      </w:r>
    </w:p>
    <w:p w:rsidR="00866547" w:rsidP="00866547">
      <w:pPr>
        <w:pStyle w:val="BodyText"/>
      </w:pPr>
      <w:r w:rsidRPr="00CE6AD0">
        <w:t>Not applicable.</w:t>
      </w:r>
    </w:p>
    <w:p w:rsidR="00000000" w:rsidRPr="00CE6AD0" w:rsidP="00CE6AD0">
      <w:pPr>
        <w:pStyle w:val="Heading1"/>
      </w:pPr>
      <w:bookmarkStart w:id="6" w:name="O_755176"/>
      <w:bookmarkEnd w:id="6"/>
      <w:r w:rsidRPr="00CE6A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 xml:space="preserve">Elements describe the </w:t>
            </w:r>
            <w:r w:rsidRPr="00CE6AD0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 xml:space="preserve">Performance criteria describe the performance needed to demonstrate achievement of the </w:t>
            </w:r>
            <w:r w:rsidRPr="00CE6AD0">
              <w:t>element.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AD0" w:rsidP="00CE6AD0">
            <w:pPr>
              <w:pStyle w:val="BodyText"/>
            </w:pPr>
            <w:r w:rsidRPr="00CE6AD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rPr>
                <w:rStyle w:val="SpecialBold"/>
              </w:rPr>
              <w:t>Prepare for health support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Information is sourced and analysed t</w:t>
            </w:r>
            <w:r w:rsidRPr="00CE6AD0">
              <w:t>o identify health factors to be considered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Considerations of production/maintenance planning are applied to derive the most efficient employment of health element equipment and personnel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Maintenance of health equipment is scheduled within the constraints of delivering health support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Preparedness of health personnel is monitored to ensure personnel are competent, authorised and ready to provide health care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Principles of health support are applied to preparing and planning health support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Instructions are prepared and delivered to implement and coordinate health support operations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Technical advice is provided to management and stakeholders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AD0" w:rsidP="00CE6AD0">
            <w:pPr>
              <w:pStyle w:val="BodyText"/>
            </w:pPr>
            <w:r w:rsidRPr="00CE6AD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rPr>
                <w:rStyle w:val="SpecialBold"/>
              </w:rPr>
              <w:t>Man</w:t>
            </w:r>
            <w:r w:rsidRPr="00CE6AD0">
              <w:rPr>
                <w:rStyle w:val="SpecialBold"/>
              </w:rPr>
              <w:t>age evacuation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Evacuation planning factors are taken into consideration when planning and compiling an evacuation task order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Evacuation assets are maintained in a state of high readiness to respond to evacuation tasking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Processes and procedures are established to enable despatch and control of evacuation assets in response to tasking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Evacuation support is delivered to support continuity of care to casualties requiring evacuation via the health element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Evacuation support is delivered within operational environment constraints allowing for appropriate security and protection of evacuation assets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Reception and despatch of casualties with other evacuation modes is coordinated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AD0" w:rsidP="00CE6AD0">
            <w:pPr>
              <w:pStyle w:val="BodyText"/>
            </w:pPr>
            <w:r w:rsidRPr="00CE6AD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rPr>
                <w:rStyle w:val="SpecialBold"/>
              </w:rPr>
              <w:t>Manage health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Interrelationship between health elements is managed to enable continuity of care as patient transitions through care agencies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Health care specialists and providers are consulted to ensure patient holding is appropriate and is balanced with care required and needed to maintain health element mobility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Patient tracking is managed to ensure accurate picture of patient status a</w:t>
            </w:r>
            <w:r w:rsidRPr="00CE6AD0">
              <w:t>t all times and to ensure personnel administrative system is informed of patient movements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Health records are maintained to enable accurate recording of care provided and basis for review and ongoing treatment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Health logistics are managed to ensure health resources available for care are consistent with care required and capability of health element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Health related reports and returns are prepared and submitted to assist with organisational health planning</w:t>
            </w:r>
            <w:r w:rsidRPr="00CE6AD0">
              <w:t xml:space="preserve"> and coordination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Knowledge of relevant conventions and laws (such as the Geneva Conventions and the Laws of Armed Conflict) are applied to health support delivery</w:t>
            </w:r>
          </w:p>
        </w:tc>
      </w:tr>
      <w:tr w:rsidTr="008665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AD0">
            <w:pPr>
              <w:pStyle w:val="BodyText"/>
              <w:rPr>
                <w:lang w:val="en-NZ"/>
              </w:rPr>
            </w:pPr>
            <w:r w:rsidRPr="00CE6AD0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AD0" w:rsidP="00CE6AD0">
            <w:pPr>
              <w:pStyle w:val="BodyText"/>
            </w:pPr>
            <w:r w:rsidRPr="00CE6AD0">
              <w:t>Welfare and administration of patients and health element personnel is monitor</w:t>
            </w:r>
            <w:r w:rsidRPr="00CE6AD0">
              <w:t>ed</w:t>
            </w:r>
          </w:p>
        </w:tc>
      </w:tr>
    </w:tbl>
    <w:p w:rsidR="00866547" w:rsidP="00CE6AD0">
      <w:pPr>
        <w:pStyle w:val="BodyText"/>
      </w:pPr>
    </w:p>
    <w:p w:rsidR="00866547" w:rsidP="00CE6AD0">
      <w:pPr>
        <w:pStyle w:val="BodyText"/>
      </w:pPr>
    </w:p>
    <w:p w:rsidR="00000000" w:rsidRPr="00CE6AD0" w:rsidP="00CE6AD0">
      <w:pPr>
        <w:pStyle w:val="Heading1"/>
      </w:pPr>
      <w:bookmarkStart w:id="7" w:name="O_755177"/>
      <w:bookmarkEnd w:id="7"/>
      <w:r w:rsidRPr="00CE6AD0">
        <w:t>Foundation Skills</w:t>
      </w:r>
    </w:p>
    <w:p w:rsidR="00866547" w:rsidP="00866547">
      <w:pPr>
        <w:pStyle w:val="BodyText"/>
      </w:pPr>
      <w:r w:rsidRPr="00CE6AD0">
        <w:t>Foundation skills essential to performance are explicit in the performance criteria of this unit of competency.</w:t>
      </w:r>
    </w:p>
    <w:p w:rsidR="00000000" w:rsidRPr="00CE6AD0" w:rsidP="00CE6AD0">
      <w:pPr>
        <w:pStyle w:val="Heading1"/>
      </w:pPr>
      <w:bookmarkStart w:id="8" w:name="O_755178"/>
      <w:bookmarkEnd w:id="8"/>
      <w:r w:rsidRPr="00CE6AD0">
        <w:t>Range of Conditions</w:t>
      </w:r>
    </w:p>
    <w:p w:rsidR="00000000" w:rsidRPr="00CE6AD0" w:rsidP="00866547">
      <w:pPr>
        <w:pStyle w:val="BodyText"/>
      </w:pPr>
      <w:r w:rsidRPr="00CE6AD0">
        <w:t>Range is restricted to essential operating conditions and any other variables essential to the work environment.</w:t>
      </w:r>
    </w:p>
    <w:p w:rsidR="00866547" w:rsidP="00866547">
      <w:pPr>
        <w:pStyle w:val="BodyText"/>
      </w:pPr>
      <w:r w:rsidRPr="00CE6AD0">
        <w:t>Non-essential conditions can be found in the Companion Volume Implementation Guide.</w:t>
      </w:r>
    </w:p>
    <w:p w:rsidR="00000000" w:rsidRPr="00CE6AD0" w:rsidP="00CE6AD0">
      <w:pPr>
        <w:pStyle w:val="Heading1"/>
      </w:pPr>
      <w:bookmarkStart w:id="9" w:name="O_755179"/>
      <w:bookmarkEnd w:id="9"/>
      <w:r w:rsidRPr="00CE6AD0">
        <w:t>Unit Mapping Information</w:t>
      </w:r>
    </w:p>
    <w:p w:rsidR="00866547" w:rsidP="00866547">
      <w:pPr>
        <w:pStyle w:val="BodyText"/>
      </w:pPr>
      <w:r w:rsidRPr="00CE6AD0">
        <w:t>This unit replac</w:t>
      </w:r>
      <w:r w:rsidRPr="00CE6AD0">
        <w:t>es and is equivalent to TLIX5044A Organise health support operations.</w:t>
      </w:r>
    </w:p>
    <w:p w:rsidR="00000000" w:rsidRPr="00CE6AD0" w:rsidP="00CE6AD0">
      <w:pPr>
        <w:pStyle w:val="Heading1"/>
      </w:pPr>
      <w:bookmarkStart w:id="10" w:name="O_755186"/>
      <w:bookmarkEnd w:id="10"/>
      <w:r w:rsidRPr="00CE6AD0">
        <w:t>Links</w:t>
      </w:r>
    </w:p>
    <w:p w:rsidR="00000000" w:rsidRPr="00CE6AD0" w:rsidP="00866547">
      <w:pPr>
        <w:pStyle w:val="BodyText"/>
      </w:pPr>
      <w:r w:rsidRPr="00CE6A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58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6AD0" w:rsidP="00CE6AD0"/>
    <w:sectPr w:rsidSect="00CE6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D0" w:rsidRPr="00866547" w:rsidP="00866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7" w:rsidP="00CE6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547" w:rsidP="00CE6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6547" w:rsidP="00CE6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AD0" w:rsidRPr="00866547" w:rsidP="00866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7" w:rsidRPr="002D2AF8" w:rsidP="00CE6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TLIX5044 Organise health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866547" w:rsidP="00CE6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AD0"/>
  </w:style>
  <w:style w:type="character" w:customStyle="1" w:styleId="Heading1Char">
    <w:name w:val="Heading 1 Char"/>
    <w:basedOn w:val="DefaultParagraphFont"/>
    <w:link w:val="Heading1"/>
    <w:rsid w:val="00CE6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A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6AD0"/>
    <w:rPr>
      <w:b/>
      <w:spacing w:val="0"/>
    </w:rPr>
  </w:style>
  <w:style w:type="paragraph" w:customStyle="1" w:styleId="SuperHeading">
    <w:name w:val="SuperHeading"/>
    <w:basedOn w:val="Normal"/>
    <w:rsid w:val="00CE6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A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A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A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AD0"/>
    <w:rPr>
      <w:i/>
    </w:rPr>
  </w:style>
  <w:style w:type="paragraph" w:styleId="Caption">
    <w:name w:val="caption"/>
    <w:basedOn w:val="BodyText"/>
    <w:next w:val="Normal"/>
    <w:qFormat/>
    <w:rsid w:val="00CE6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AD0"/>
  </w:style>
  <w:style w:type="paragraph" w:styleId="TableofFigures">
    <w:name w:val="table of figures"/>
    <w:basedOn w:val="Normal"/>
    <w:next w:val="Normal"/>
    <w:semiHidden/>
    <w:rsid w:val="00CE6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A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AD0"/>
    <w:rPr>
      <w:rFonts w:ascii="Wingdings" w:hAnsi="Wingdings"/>
    </w:rPr>
  </w:style>
  <w:style w:type="paragraph" w:customStyle="1" w:styleId="TableHeading">
    <w:name w:val="Table Heading"/>
    <w:basedOn w:val="HeadingBase"/>
    <w:rsid w:val="00CE6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AD0"/>
    <w:rPr>
      <w:color w:val="0033CC"/>
      <w:u w:val="none"/>
    </w:rPr>
  </w:style>
  <w:style w:type="paragraph" w:customStyle="1" w:styleId="BodyTextRight">
    <w:name w:val="Body Text Right"/>
    <w:basedOn w:val="BodyText"/>
    <w:rsid w:val="00CE6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A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AD0"/>
    <w:rPr>
      <w:sz w:val="32"/>
    </w:rPr>
  </w:style>
  <w:style w:type="paragraph" w:customStyle="1" w:styleId="HeadingProcedure">
    <w:name w:val="Heading Procedure"/>
    <w:basedOn w:val="HeadingBase"/>
    <w:next w:val="Normal"/>
    <w:rsid w:val="00CE6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AD0"/>
    <w:pPr>
      <w:spacing w:before="60" w:after="60"/>
    </w:pPr>
  </w:style>
  <w:style w:type="paragraph" w:styleId="ListContinue">
    <w:name w:val="List Continue"/>
    <w:basedOn w:val="List"/>
    <w:rsid w:val="00CE6AD0"/>
    <w:pPr>
      <w:ind w:firstLine="0"/>
    </w:pPr>
  </w:style>
  <w:style w:type="paragraph" w:customStyle="1" w:styleId="ListNote">
    <w:name w:val="List Note"/>
    <w:basedOn w:val="List"/>
    <w:rsid w:val="00CE6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AD0"/>
    <w:rPr>
      <w:rFonts w:ascii="Courier New" w:hAnsi="Courier New"/>
    </w:rPr>
  </w:style>
  <w:style w:type="paragraph" w:customStyle="1" w:styleId="NoteBullet">
    <w:name w:val="Note Bullet"/>
    <w:basedOn w:val="Note"/>
    <w:rsid w:val="00CE6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A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AD0"/>
    <w:rPr>
      <w:b/>
      <w:smallCaps/>
    </w:rPr>
  </w:style>
  <w:style w:type="paragraph" w:customStyle="1" w:styleId="TableListNumber">
    <w:name w:val="Table List Number"/>
    <w:basedOn w:val="ListNumber"/>
    <w:rsid w:val="00CE6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AD0"/>
    <w:pPr>
      <w:numPr>
        <w:numId w:val="7"/>
      </w:numPr>
    </w:pPr>
  </w:style>
  <w:style w:type="paragraph" w:customStyle="1" w:styleId="ListAlpha2">
    <w:name w:val="List Alpha 2"/>
    <w:basedOn w:val="List2"/>
    <w:rsid w:val="00CE6AD0"/>
    <w:pPr>
      <w:numPr>
        <w:numId w:val="6"/>
      </w:numPr>
    </w:pPr>
  </w:style>
  <w:style w:type="paragraph" w:styleId="List2">
    <w:name w:val="List 2"/>
    <w:basedOn w:val="BodyText"/>
    <w:rsid w:val="00CE6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A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A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AD0"/>
    <w:pPr>
      <w:numPr>
        <w:numId w:val="2"/>
      </w:numPr>
    </w:pPr>
  </w:style>
  <w:style w:type="paragraph" w:styleId="ListContinue2">
    <w:name w:val="List Continue 2"/>
    <w:basedOn w:val="List2"/>
    <w:rsid w:val="00CE6AD0"/>
    <w:pPr>
      <w:ind w:firstLine="0"/>
    </w:pPr>
  </w:style>
  <w:style w:type="paragraph" w:styleId="ListContinue3">
    <w:name w:val="List Continue 3"/>
    <w:basedOn w:val="List3"/>
    <w:rsid w:val="00CE6AD0"/>
    <w:pPr>
      <w:ind w:left="1021" w:firstLine="0"/>
    </w:pPr>
  </w:style>
  <w:style w:type="paragraph" w:styleId="ListContinue4">
    <w:name w:val="List Continue 4"/>
    <w:basedOn w:val="List4"/>
    <w:rsid w:val="00CE6AD0"/>
    <w:pPr>
      <w:ind w:firstLine="0"/>
    </w:pPr>
  </w:style>
  <w:style w:type="paragraph" w:styleId="ListContinue5">
    <w:name w:val="List Continue 5"/>
    <w:basedOn w:val="List5"/>
    <w:rsid w:val="00CE6AD0"/>
    <w:pPr>
      <w:ind w:firstLine="0"/>
    </w:pPr>
  </w:style>
  <w:style w:type="paragraph" w:styleId="ListNumber3">
    <w:name w:val="List Number 3"/>
    <w:basedOn w:val="List3"/>
    <w:rsid w:val="00CE6AD0"/>
    <w:pPr>
      <w:numPr>
        <w:numId w:val="3"/>
      </w:numPr>
    </w:pPr>
  </w:style>
  <w:style w:type="paragraph" w:styleId="ListNumber4">
    <w:name w:val="List Number 4"/>
    <w:basedOn w:val="List4"/>
    <w:rsid w:val="00CE6AD0"/>
    <w:pPr>
      <w:numPr>
        <w:numId w:val="4"/>
      </w:numPr>
    </w:pPr>
  </w:style>
  <w:style w:type="paragraph" w:styleId="ListNumber5">
    <w:name w:val="List Number 5"/>
    <w:basedOn w:val="List5"/>
    <w:rsid w:val="00CE6AD0"/>
    <w:pPr>
      <w:numPr>
        <w:numId w:val="5"/>
      </w:numPr>
    </w:pPr>
  </w:style>
  <w:style w:type="paragraph" w:styleId="BlockText">
    <w:name w:val="Block Text"/>
    <w:basedOn w:val="Normal"/>
    <w:rsid w:val="00CE6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AD0"/>
    <w:rPr>
      <w:sz w:val="16"/>
      <w:vertAlign w:val="superscript"/>
    </w:rPr>
  </w:style>
  <w:style w:type="character" w:customStyle="1" w:styleId="Symbols">
    <w:name w:val="Symbols"/>
    <w:basedOn w:val="DefaultParagraphFont"/>
    <w:rsid w:val="00CE6AD0"/>
    <w:rPr>
      <w:rFonts w:ascii="Symbol" w:hAnsi="Symbol"/>
    </w:rPr>
  </w:style>
  <w:style w:type="character" w:customStyle="1" w:styleId="MenuOptions">
    <w:name w:val="Menu Options"/>
    <w:basedOn w:val="DefaultParagraphFont"/>
    <w:rsid w:val="00CE6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AD0"/>
    <w:rPr>
      <w:b/>
    </w:rPr>
  </w:style>
  <w:style w:type="character" w:customStyle="1" w:styleId="Underlined">
    <w:name w:val="Underlined"/>
    <w:basedOn w:val="DefaultParagraphFont"/>
    <w:rsid w:val="00CE6AD0"/>
    <w:rPr>
      <w:u w:val="single"/>
    </w:rPr>
  </w:style>
  <w:style w:type="paragraph" w:customStyle="1" w:styleId="TableBodyTextRight">
    <w:name w:val="Table Body Text Right"/>
    <w:basedOn w:val="TableBodyText"/>
    <w:rsid w:val="00CE6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AD0"/>
    <w:rPr>
      <w:sz w:val="18"/>
    </w:rPr>
  </w:style>
  <w:style w:type="paragraph" w:customStyle="1" w:styleId="BodySmallRight">
    <w:name w:val="Body Small Right"/>
    <w:basedOn w:val="BodyTextRight"/>
    <w:rsid w:val="00CE6AD0"/>
    <w:rPr>
      <w:sz w:val="18"/>
      <w:szCs w:val="18"/>
    </w:rPr>
  </w:style>
  <w:style w:type="paragraph" w:customStyle="1" w:styleId="MarginEdition">
    <w:name w:val="Margin Edition"/>
    <w:basedOn w:val="MarginNote"/>
    <w:rsid w:val="00CE6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AD0"/>
    <w:rPr>
      <w:sz w:val="2"/>
      <w:szCs w:val="2"/>
    </w:rPr>
  </w:style>
  <w:style w:type="character" w:customStyle="1" w:styleId="Small">
    <w:name w:val="Small"/>
    <w:basedOn w:val="DefaultParagraphFont"/>
    <w:rsid w:val="00CE6AD0"/>
    <w:rPr>
      <w:sz w:val="16"/>
    </w:rPr>
  </w:style>
  <w:style w:type="paragraph" w:customStyle="1" w:styleId="WideTable">
    <w:name w:val="Wide Table"/>
    <w:basedOn w:val="Normal"/>
    <w:rsid w:val="00CE6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AD0"/>
  </w:style>
  <w:style w:type="paragraph" w:styleId="Quote">
    <w:name w:val="Quote"/>
    <w:basedOn w:val="Heading1"/>
    <w:link w:val="QuoteChar"/>
    <w:qFormat/>
    <w:rsid w:val="00CE6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AD0"/>
    <w:pPr>
      <w:pageBreakBefore/>
    </w:pPr>
  </w:style>
  <w:style w:type="paragraph" w:customStyle="1" w:styleId="Border">
    <w:name w:val="Border"/>
    <w:basedOn w:val="Normal"/>
    <w:qFormat/>
    <w:rsid w:val="00CE6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AD0"/>
    <w:rPr>
      <w:u w:val="single"/>
    </w:rPr>
  </w:style>
  <w:style w:type="character" w:customStyle="1" w:styleId="BoldandItalics">
    <w:name w:val="Bold and Italics"/>
    <w:qFormat/>
    <w:rsid w:val="00CE6AD0"/>
    <w:rPr>
      <w:b/>
      <w:i/>
      <w:u w:val="none"/>
    </w:rPr>
  </w:style>
  <w:style w:type="paragraph" w:styleId="BalloonText">
    <w:name w:val="Balloon Text"/>
    <w:basedOn w:val="Normal"/>
    <w:link w:val="BalloonTextChar"/>
    <w:rsid w:val="00CE6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AD0"/>
    <w:pPr>
      <w:spacing w:before="0" w:after="0"/>
    </w:pPr>
  </w:style>
  <w:style w:type="paragraph" w:customStyle="1" w:styleId="BodyTextBold">
    <w:name w:val="Body Text Bold"/>
    <w:basedOn w:val="BodyText"/>
    <w:qFormat/>
    <w:rsid w:val="00CE6AD0"/>
    <w:rPr>
      <w:b/>
    </w:rPr>
  </w:style>
  <w:style w:type="character" w:styleId="Hyperlink">
    <w:name w:val="Hyperlink"/>
    <w:basedOn w:val="DefaultParagraphFont"/>
    <w:uiPriority w:val="99"/>
    <w:unhideWhenUsed/>
    <w:rsid w:val="00866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4195</Characters>
  <Application>Microsoft Office Word</Application>
  <DocSecurity>0</DocSecurity>
  <Lines>167</Lines>
  <Paragraphs>93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TLIX5044 Organise health support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2022-10-25T05:07:00Z</dcterms:created>
  <dcterms:modified xsi:type="dcterms:W3CDTF">2022-10-25T05:07:00Z</dcterms:modified>
</cp:coreProperties>
</file>