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D2C78" w:rsidP="000D2C78">
      <w:pPr>
        <w:pStyle w:val="Title"/>
      </w:pPr>
      <w:r>
        <w:fldChar w:fldCharType="begin"/>
      </w:r>
      <w:r>
        <w:instrText xml:space="preserve"> TITLE   \* MERGEFORMAT </w:instrText>
      </w:r>
      <w:r>
        <w:fldChar w:fldCharType="separate"/>
      </w:r>
      <w:r>
        <w:t>TLIX5044 Organise health support operations</w:t>
      </w:r>
      <w:r>
        <w:fldChar w:fldCharType="end"/>
      </w:r>
    </w:p>
    <w:p w:rsidR="000D2C78" w:rsidP="000D2C78">
      <w:pPr>
        <w:pStyle w:val="Version"/>
        <w:sectPr w:rsidSect="005631D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631D9" w:rsidP="005631D9">
      <w:pPr>
        <w:pStyle w:val="SuperHeading"/>
      </w:pPr>
      <w:r w:rsidRPr="005631D9">
        <w:t>TLIX5044 Organise health support operations</w:t>
      </w:r>
    </w:p>
    <w:p w:rsidR="00000000" w:rsidRPr="005631D9" w:rsidP="005631D9">
      <w:pPr>
        <w:pStyle w:val="Heading1"/>
      </w:pPr>
      <w:bookmarkStart w:id="1" w:name="O_755171"/>
      <w:bookmarkEnd w:id="1"/>
      <w:r w:rsidRPr="005631D9">
        <w:t>Modification History</w:t>
      </w:r>
    </w:p>
    <w:p w:rsidR="000D2C78" w:rsidP="000D2C78">
      <w:pPr>
        <w:pStyle w:val="BodyText"/>
      </w:pPr>
      <w:r w:rsidRPr="005631D9">
        <w:t>Release 1. This is the first release of this unit of competency in the TLI Transport and Logistics Training Package.</w:t>
      </w:r>
    </w:p>
    <w:p w:rsidR="00000000" w:rsidRPr="005631D9" w:rsidP="005631D9">
      <w:pPr>
        <w:pStyle w:val="Heading1"/>
      </w:pPr>
      <w:bookmarkStart w:id="2" w:name="O_755172"/>
      <w:bookmarkEnd w:id="2"/>
      <w:r w:rsidRPr="005631D9">
        <w:t>Application</w:t>
      </w:r>
    </w:p>
    <w:tbl>
      <w:tblPr>
        <w:tblW w:w="0" w:type="auto"/>
        <w:tblCellMar>
          <w:left w:w="62" w:type="dxa"/>
          <w:right w:w="62" w:type="dxa"/>
        </w:tblCellMar>
        <w:tblLook w:val="0000"/>
      </w:tblPr>
      <w:tblGrid>
        <w:gridCol w:w="9196"/>
      </w:tblGrid>
      <w:tr w:rsidTr="000D2C7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631D9" w:rsidP="005631D9">
            <w:pPr>
              <w:pStyle w:val="BodyText"/>
            </w:pPr>
            <w:r w:rsidRPr="005631D9">
              <w:t>This unit involves the skills and knowledge required to organise health support operatio</w:t>
            </w:r>
            <w:r w:rsidRPr="005631D9">
              <w:t xml:space="preserve">ns in a field deployment context in support of operations, in accordance with relevant organisational policy and procedures. </w:t>
            </w:r>
          </w:p>
          <w:p w:rsidR="00000000" w:rsidRPr="005631D9" w:rsidP="005631D9">
            <w:pPr>
              <w:pStyle w:val="BodyText"/>
            </w:pPr>
            <w:r w:rsidRPr="005631D9">
              <w:t>This unit is applicable to logistics personnel responsible for organising and managing the delivery of health support in a field d</w:t>
            </w:r>
            <w:r w:rsidRPr="005631D9">
              <w:t>eployment context.</w:t>
            </w:r>
          </w:p>
          <w:p w:rsidR="00000000" w:rsidRPr="005631D9" w:rsidP="005631D9">
            <w:pPr>
              <w:pStyle w:val="BodyText"/>
            </w:pPr>
            <w:r w:rsidRPr="005631D9">
              <w:t>People who undertake this unit will usually be a clinician or a health care provider. This role requires management and leadership skills.</w:t>
            </w:r>
          </w:p>
          <w:p w:rsidR="00000000" w:rsidRPr="005631D9" w:rsidP="005631D9">
            <w:pPr>
              <w:pStyle w:val="BodyText"/>
            </w:pPr>
            <w:r w:rsidRPr="005631D9">
              <w:t xml:space="preserve">Health elements may be comprised of a range of health capability from different disciplines (such </w:t>
            </w:r>
            <w:r w:rsidRPr="005631D9">
              <w:t xml:space="preserve">as dental, pathology, surgical), which, when brought together, form a comprehensive health support organisation. The composition of this health support organisation will be guided by the type and scale of operation. </w:t>
            </w:r>
          </w:p>
          <w:p w:rsidR="00000000" w:rsidRPr="005631D9" w:rsidP="005631D9">
            <w:pPr>
              <w:pStyle w:val="BodyText"/>
            </w:pPr>
            <w:r w:rsidRPr="005631D9">
              <w:t>No licensing, legislative or certificat</w:t>
            </w:r>
            <w:r w:rsidRPr="005631D9">
              <w:t>ion requirements apply to this unit at the time of publication.</w:t>
            </w:r>
          </w:p>
        </w:tc>
      </w:tr>
    </w:tbl>
    <w:p w:rsidR="000D2C78" w:rsidP="005631D9">
      <w:pPr>
        <w:pStyle w:val="BodyText"/>
      </w:pPr>
    </w:p>
    <w:p w:rsidR="000D2C78" w:rsidP="005631D9">
      <w:pPr>
        <w:pStyle w:val="BodyText"/>
      </w:pPr>
    </w:p>
    <w:p w:rsidR="00000000" w:rsidRPr="005631D9" w:rsidP="005631D9">
      <w:pPr>
        <w:pStyle w:val="Heading1"/>
      </w:pPr>
      <w:bookmarkStart w:id="3" w:name="O_755173"/>
      <w:bookmarkEnd w:id="3"/>
      <w:r w:rsidRPr="005631D9">
        <w:t>Pre-requisite Unit</w:t>
      </w:r>
    </w:p>
    <w:p w:rsidR="000D2C78" w:rsidP="000D2C78">
      <w:pPr>
        <w:pStyle w:val="BodyText"/>
      </w:pPr>
      <w:r w:rsidRPr="005631D9">
        <w:t>Not applicable.</w:t>
      </w:r>
    </w:p>
    <w:p w:rsidR="00000000" w:rsidRPr="005631D9" w:rsidP="005631D9">
      <w:pPr>
        <w:pStyle w:val="Heading1"/>
      </w:pPr>
      <w:bookmarkStart w:id="4" w:name="O_755174"/>
      <w:bookmarkEnd w:id="4"/>
      <w:r w:rsidRPr="005631D9">
        <w:t>Competency Field</w:t>
      </w:r>
    </w:p>
    <w:p w:rsidR="000D2C78" w:rsidP="000D2C78">
      <w:pPr>
        <w:pStyle w:val="BodyText"/>
      </w:pPr>
      <w:r w:rsidRPr="005631D9">
        <w:t>X – Logistics</w:t>
      </w:r>
    </w:p>
    <w:p w:rsidR="00000000" w:rsidRPr="005631D9" w:rsidP="005631D9">
      <w:pPr>
        <w:pStyle w:val="Heading1"/>
      </w:pPr>
      <w:bookmarkStart w:id="5" w:name="O_755175"/>
      <w:bookmarkEnd w:id="5"/>
      <w:r w:rsidRPr="005631D9">
        <w:t>Unit Sector</w:t>
      </w:r>
    </w:p>
    <w:p w:rsidR="000D2C78" w:rsidP="000D2C78">
      <w:pPr>
        <w:pStyle w:val="BodyText"/>
      </w:pPr>
      <w:r w:rsidRPr="005631D9">
        <w:t>Not applicable.</w:t>
      </w:r>
    </w:p>
    <w:p w:rsidR="00000000" w:rsidRPr="005631D9" w:rsidP="005631D9">
      <w:pPr>
        <w:pStyle w:val="Heading1"/>
      </w:pPr>
      <w:bookmarkStart w:id="6" w:name="O_755176"/>
      <w:bookmarkEnd w:id="6"/>
      <w:r w:rsidRPr="005631D9">
        <w:t>Elements and Performance Criteria</w:t>
      </w:r>
    </w:p>
    <w:tbl>
      <w:tblPr>
        <w:tblW w:w="0" w:type="auto"/>
        <w:tblCellMar>
          <w:left w:w="62" w:type="dxa"/>
          <w:right w:w="62" w:type="dxa"/>
        </w:tblCellMar>
        <w:tblLook w:val="0000"/>
      </w:tblPr>
      <w:tblGrid>
        <w:gridCol w:w="332"/>
        <w:gridCol w:w="1770"/>
        <w:gridCol w:w="553"/>
        <w:gridCol w:w="6541"/>
      </w:tblGrid>
      <w:tr w:rsidTr="000D2C78">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5631D9">
            <w:pPr>
              <w:pStyle w:val="BodyText"/>
              <w:rPr>
                <w:lang w:val="en-NZ"/>
              </w:rPr>
            </w:pPr>
            <w:r w:rsidRPr="005631D9">
              <w:t xml:space="preserve">Elements describe the </w:t>
            </w:r>
            <w:r w:rsidRPr="005631D9">
              <w:t>essential outcomes.</w:t>
            </w:r>
          </w:p>
        </w:tc>
        <w:tc>
          <w:tcPr>
            <w:tcW w:w="0" w:type="auto"/>
            <w:gridSpan w:val="2"/>
            <w:tcBorders>
              <w:top w:val="nil"/>
              <w:left w:val="nil"/>
              <w:bottom w:val="nil"/>
              <w:right w:val="nil"/>
            </w:tcBorders>
            <w:tcMar>
              <w:top w:w="0" w:type="dxa"/>
              <w:left w:w="62" w:type="dxa"/>
              <w:bottom w:w="0" w:type="dxa"/>
              <w:right w:w="62" w:type="dxa"/>
            </w:tcMar>
          </w:tcPr>
          <w:p w:rsidR="00000000" w:rsidP="005631D9">
            <w:pPr>
              <w:pStyle w:val="BodyText"/>
              <w:rPr>
                <w:lang w:val="en-NZ"/>
              </w:rPr>
            </w:pPr>
            <w:r w:rsidRPr="005631D9">
              <w:t xml:space="preserve">Performance criteria describe the performance needed to demonstrate achievement of the </w:t>
            </w:r>
            <w:r w:rsidRPr="005631D9">
              <w:t>element.</w:t>
            </w:r>
          </w:p>
        </w:tc>
      </w:tr>
      <w:tr w:rsidTr="000D2C78">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5631D9" w:rsidP="005631D9">
            <w:pPr>
              <w:pStyle w:val="BodyText"/>
            </w:pPr>
            <w:r w:rsidRPr="005631D9">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P="005631D9">
            <w:pPr>
              <w:pStyle w:val="BodyText"/>
              <w:rPr>
                <w:lang w:val="en-NZ"/>
              </w:rPr>
            </w:pPr>
            <w:r w:rsidRPr="005631D9">
              <w:rPr>
                <w:rStyle w:val="SpecialBold"/>
              </w:rPr>
              <w:t>Prepare for health support operations</w:t>
            </w:r>
          </w:p>
        </w:tc>
        <w:tc>
          <w:tcPr>
            <w:tcW w:w="0" w:type="auto"/>
            <w:tcBorders>
              <w:top w:val="nil"/>
              <w:left w:val="nil"/>
              <w:bottom w:val="nil"/>
              <w:right w:val="nil"/>
            </w:tcBorders>
            <w:tcMar>
              <w:top w:w="0" w:type="dxa"/>
              <w:left w:w="62" w:type="dxa"/>
              <w:bottom w:w="0" w:type="dxa"/>
              <w:right w:w="62" w:type="dxa"/>
            </w:tcMar>
          </w:tcPr>
          <w:p w:rsidR="00000000" w:rsidP="005631D9">
            <w:pPr>
              <w:pStyle w:val="BodyText"/>
              <w:rPr>
                <w:lang w:val="en-NZ"/>
              </w:rPr>
            </w:pPr>
            <w:r w:rsidRPr="005631D9">
              <w:t>1.1</w:t>
            </w:r>
          </w:p>
        </w:tc>
        <w:tc>
          <w:tcPr>
            <w:tcW w:w="0" w:type="auto"/>
            <w:tcBorders>
              <w:top w:val="nil"/>
              <w:left w:val="nil"/>
              <w:bottom w:val="nil"/>
              <w:right w:val="nil"/>
            </w:tcBorders>
            <w:tcMar>
              <w:top w:w="0" w:type="dxa"/>
              <w:left w:w="62" w:type="dxa"/>
              <w:bottom w:w="0" w:type="dxa"/>
              <w:right w:w="62" w:type="dxa"/>
            </w:tcMar>
          </w:tcPr>
          <w:p w:rsidR="00000000" w:rsidP="005631D9">
            <w:pPr>
              <w:pStyle w:val="BodyText"/>
              <w:rPr>
                <w:lang w:val="en-NZ"/>
              </w:rPr>
            </w:pPr>
            <w:r w:rsidRPr="005631D9">
              <w:t>Information is sourced and analysed t</w:t>
            </w:r>
            <w:r w:rsidRPr="005631D9">
              <w:t>o identify health factors to be considered</w:t>
            </w:r>
          </w:p>
        </w:tc>
      </w:tr>
      <w:tr w:rsidTr="000D2C78">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631D9">
            <w:pPr>
              <w:pStyle w:val="BodyText"/>
              <w:rPr>
                <w:lang w:val="en-NZ"/>
              </w:rPr>
            </w:pPr>
            <w:r w:rsidRPr="005631D9">
              <w:t>1.2</w:t>
            </w:r>
          </w:p>
        </w:tc>
        <w:tc>
          <w:tcPr>
            <w:tcW w:w="0" w:type="auto"/>
            <w:tcBorders>
              <w:top w:val="nil"/>
              <w:left w:val="nil"/>
              <w:bottom w:val="nil"/>
              <w:right w:val="nil"/>
            </w:tcBorders>
            <w:tcMar>
              <w:top w:w="0" w:type="dxa"/>
              <w:left w:w="62" w:type="dxa"/>
              <w:bottom w:w="0" w:type="dxa"/>
              <w:right w:w="62" w:type="dxa"/>
            </w:tcMar>
          </w:tcPr>
          <w:p w:rsidR="00000000" w:rsidP="005631D9">
            <w:pPr>
              <w:pStyle w:val="BodyText"/>
              <w:rPr>
                <w:lang w:val="en-NZ"/>
              </w:rPr>
            </w:pPr>
            <w:r w:rsidRPr="005631D9">
              <w:t>Considerations of production/maintenance planning are applied to derive the most efficient employment of health element equipment and personnel</w:t>
            </w:r>
          </w:p>
        </w:tc>
      </w:tr>
      <w:tr w:rsidTr="000D2C78">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631D9">
            <w:pPr>
              <w:pStyle w:val="BodyText"/>
              <w:rPr>
                <w:lang w:val="en-NZ"/>
              </w:rPr>
            </w:pPr>
            <w:r w:rsidRPr="005631D9">
              <w:t>1.3</w:t>
            </w:r>
          </w:p>
        </w:tc>
        <w:tc>
          <w:tcPr>
            <w:tcW w:w="0" w:type="auto"/>
            <w:tcBorders>
              <w:top w:val="nil"/>
              <w:left w:val="nil"/>
              <w:bottom w:val="nil"/>
              <w:right w:val="nil"/>
            </w:tcBorders>
            <w:tcMar>
              <w:top w:w="0" w:type="dxa"/>
              <w:left w:w="62" w:type="dxa"/>
              <w:bottom w:w="0" w:type="dxa"/>
              <w:right w:w="62" w:type="dxa"/>
            </w:tcMar>
          </w:tcPr>
          <w:p w:rsidR="00000000" w:rsidP="005631D9">
            <w:pPr>
              <w:pStyle w:val="BodyText"/>
              <w:rPr>
                <w:lang w:val="en-NZ"/>
              </w:rPr>
            </w:pPr>
            <w:r w:rsidRPr="005631D9">
              <w:t>Maintenance of health equipment is scheduled within th</w:t>
            </w:r>
            <w:r w:rsidRPr="005631D9">
              <w:t>e constraints of delivering health support</w:t>
            </w:r>
          </w:p>
        </w:tc>
      </w:tr>
      <w:tr w:rsidTr="000D2C78">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631D9">
            <w:pPr>
              <w:pStyle w:val="BodyText"/>
              <w:rPr>
                <w:lang w:val="en-NZ"/>
              </w:rPr>
            </w:pPr>
            <w:r w:rsidRPr="005631D9">
              <w:t>1.4</w:t>
            </w:r>
          </w:p>
        </w:tc>
        <w:tc>
          <w:tcPr>
            <w:tcW w:w="0" w:type="auto"/>
            <w:tcBorders>
              <w:top w:val="nil"/>
              <w:left w:val="nil"/>
              <w:bottom w:val="nil"/>
              <w:right w:val="nil"/>
            </w:tcBorders>
            <w:tcMar>
              <w:top w:w="0" w:type="dxa"/>
              <w:left w:w="62" w:type="dxa"/>
              <w:bottom w:w="0" w:type="dxa"/>
              <w:right w:w="62" w:type="dxa"/>
            </w:tcMar>
          </w:tcPr>
          <w:p w:rsidR="00000000" w:rsidP="005631D9">
            <w:pPr>
              <w:pStyle w:val="BodyText"/>
              <w:rPr>
                <w:lang w:val="en-NZ"/>
              </w:rPr>
            </w:pPr>
            <w:r w:rsidRPr="005631D9">
              <w:t>Preparedness of health personnel is monitored to ensure personnel are competent, authorised and ready to provide health care</w:t>
            </w:r>
          </w:p>
        </w:tc>
      </w:tr>
      <w:tr w:rsidTr="000D2C78">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631D9">
            <w:pPr>
              <w:pStyle w:val="BodyText"/>
              <w:rPr>
                <w:lang w:val="en-NZ"/>
              </w:rPr>
            </w:pPr>
            <w:r w:rsidRPr="005631D9">
              <w:t>1.5</w:t>
            </w:r>
          </w:p>
        </w:tc>
        <w:tc>
          <w:tcPr>
            <w:tcW w:w="0" w:type="auto"/>
            <w:tcBorders>
              <w:top w:val="nil"/>
              <w:left w:val="nil"/>
              <w:bottom w:val="nil"/>
              <w:right w:val="nil"/>
            </w:tcBorders>
            <w:tcMar>
              <w:top w:w="0" w:type="dxa"/>
              <w:left w:w="62" w:type="dxa"/>
              <w:bottom w:w="0" w:type="dxa"/>
              <w:right w:w="62" w:type="dxa"/>
            </w:tcMar>
          </w:tcPr>
          <w:p w:rsidR="00000000" w:rsidP="005631D9">
            <w:pPr>
              <w:pStyle w:val="BodyText"/>
              <w:rPr>
                <w:lang w:val="en-NZ"/>
              </w:rPr>
            </w:pPr>
            <w:r w:rsidRPr="005631D9">
              <w:t>Principl</w:t>
            </w:r>
            <w:r w:rsidRPr="005631D9">
              <w:t>es of health support are applied to preparing and planning health support</w:t>
            </w:r>
          </w:p>
        </w:tc>
      </w:tr>
      <w:tr w:rsidTr="000D2C78">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631D9">
            <w:pPr>
              <w:pStyle w:val="BodyText"/>
              <w:rPr>
                <w:lang w:val="en-NZ"/>
              </w:rPr>
            </w:pPr>
            <w:r w:rsidRPr="005631D9">
              <w:t>1.6</w:t>
            </w:r>
          </w:p>
        </w:tc>
        <w:tc>
          <w:tcPr>
            <w:tcW w:w="0" w:type="auto"/>
            <w:tcBorders>
              <w:top w:val="nil"/>
              <w:left w:val="nil"/>
              <w:bottom w:val="nil"/>
              <w:right w:val="nil"/>
            </w:tcBorders>
            <w:tcMar>
              <w:top w:w="0" w:type="dxa"/>
              <w:left w:w="62" w:type="dxa"/>
              <w:bottom w:w="0" w:type="dxa"/>
              <w:right w:w="62" w:type="dxa"/>
            </w:tcMar>
          </w:tcPr>
          <w:p w:rsidR="00000000" w:rsidP="005631D9">
            <w:pPr>
              <w:pStyle w:val="BodyText"/>
              <w:rPr>
                <w:lang w:val="en-NZ"/>
              </w:rPr>
            </w:pPr>
            <w:r w:rsidRPr="005631D9">
              <w:t>Instructions are prepared and delivered to implement and coordinate health support operations</w:t>
            </w:r>
          </w:p>
        </w:tc>
      </w:tr>
      <w:tr w:rsidTr="000D2C78">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631D9">
            <w:pPr>
              <w:pStyle w:val="BodyText"/>
              <w:rPr>
                <w:lang w:val="en-NZ"/>
              </w:rPr>
            </w:pPr>
            <w:r w:rsidRPr="005631D9">
              <w:t>1.7</w:t>
            </w:r>
          </w:p>
        </w:tc>
        <w:tc>
          <w:tcPr>
            <w:tcW w:w="0" w:type="auto"/>
            <w:tcBorders>
              <w:top w:val="nil"/>
              <w:left w:val="nil"/>
              <w:bottom w:val="nil"/>
              <w:right w:val="nil"/>
            </w:tcBorders>
            <w:tcMar>
              <w:top w:w="0" w:type="dxa"/>
              <w:left w:w="62" w:type="dxa"/>
              <w:bottom w:w="0" w:type="dxa"/>
              <w:right w:w="62" w:type="dxa"/>
            </w:tcMar>
          </w:tcPr>
          <w:p w:rsidR="00000000" w:rsidP="005631D9">
            <w:pPr>
              <w:pStyle w:val="BodyText"/>
              <w:rPr>
                <w:lang w:val="en-NZ"/>
              </w:rPr>
            </w:pPr>
            <w:r w:rsidRPr="005631D9">
              <w:t>Technical advice is provided to management and stakeholders</w:t>
            </w:r>
          </w:p>
        </w:tc>
      </w:tr>
      <w:tr w:rsidTr="000D2C78">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5631D9" w:rsidP="005631D9">
            <w:pPr>
              <w:pStyle w:val="BodyText"/>
            </w:pPr>
            <w:r w:rsidRPr="005631D9">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P="005631D9">
            <w:pPr>
              <w:pStyle w:val="BodyText"/>
              <w:rPr>
                <w:lang w:val="en-NZ"/>
              </w:rPr>
            </w:pPr>
            <w:r w:rsidRPr="005631D9">
              <w:rPr>
                <w:rStyle w:val="SpecialBold"/>
              </w:rPr>
              <w:t>Manage evac</w:t>
            </w:r>
            <w:r w:rsidRPr="005631D9">
              <w:rPr>
                <w:rStyle w:val="SpecialBold"/>
              </w:rPr>
              <w:t>uation support</w:t>
            </w:r>
          </w:p>
        </w:tc>
        <w:tc>
          <w:tcPr>
            <w:tcW w:w="0" w:type="auto"/>
            <w:tcBorders>
              <w:top w:val="nil"/>
              <w:left w:val="nil"/>
              <w:bottom w:val="nil"/>
              <w:right w:val="nil"/>
            </w:tcBorders>
            <w:tcMar>
              <w:top w:w="0" w:type="dxa"/>
              <w:left w:w="62" w:type="dxa"/>
              <w:bottom w:w="0" w:type="dxa"/>
              <w:right w:w="62" w:type="dxa"/>
            </w:tcMar>
          </w:tcPr>
          <w:p w:rsidR="00000000" w:rsidP="005631D9">
            <w:pPr>
              <w:pStyle w:val="BodyText"/>
              <w:rPr>
                <w:lang w:val="en-NZ"/>
              </w:rPr>
            </w:pPr>
            <w:r w:rsidRPr="005631D9">
              <w:t>2.1</w:t>
            </w:r>
          </w:p>
        </w:tc>
        <w:tc>
          <w:tcPr>
            <w:tcW w:w="0" w:type="auto"/>
            <w:tcBorders>
              <w:top w:val="nil"/>
              <w:left w:val="nil"/>
              <w:bottom w:val="nil"/>
              <w:right w:val="nil"/>
            </w:tcBorders>
            <w:tcMar>
              <w:top w:w="0" w:type="dxa"/>
              <w:left w:w="62" w:type="dxa"/>
              <w:bottom w:w="0" w:type="dxa"/>
              <w:right w:w="62" w:type="dxa"/>
            </w:tcMar>
          </w:tcPr>
          <w:p w:rsidR="00000000" w:rsidP="005631D9">
            <w:pPr>
              <w:pStyle w:val="BodyText"/>
              <w:rPr>
                <w:lang w:val="en-NZ"/>
              </w:rPr>
            </w:pPr>
            <w:r w:rsidRPr="005631D9">
              <w:t>Evacuation planning factors are taken into consideration when planning and compiling an evacuation task order</w:t>
            </w:r>
          </w:p>
        </w:tc>
      </w:tr>
      <w:tr w:rsidTr="000D2C78">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631D9">
            <w:pPr>
              <w:pStyle w:val="BodyText"/>
              <w:rPr>
                <w:lang w:val="en-NZ"/>
              </w:rPr>
            </w:pPr>
            <w:r w:rsidRPr="005631D9">
              <w:t>2.2</w:t>
            </w:r>
          </w:p>
        </w:tc>
        <w:tc>
          <w:tcPr>
            <w:tcW w:w="0" w:type="auto"/>
            <w:tcBorders>
              <w:top w:val="nil"/>
              <w:left w:val="nil"/>
              <w:bottom w:val="nil"/>
              <w:right w:val="nil"/>
            </w:tcBorders>
            <w:tcMar>
              <w:top w:w="0" w:type="dxa"/>
              <w:left w:w="62" w:type="dxa"/>
              <w:bottom w:w="0" w:type="dxa"/>
              <w:right w:w="62" w:type="dxa"/>
            </w:tcMar>
          </w:tcPr>
          <w:p w:rsidR="00000000" w:rsidP="005631D9">
            <w:pPr>
              <w:pStyle w:val="BodyText"/>
              <w:rPr>
                <w:lang w:val="en-NZ"/>
              </w:rPr>
            </w:pPr>
            <w:r w:rsidRPr="005631D9">
              <w:t>Evacuation assets are maintained in a state of high readiness to respond to evacuation tasking</w:t>
            </w:r>
          </w:p>
        </w:tc>
      </w:tr>
      <w:tr w:rsidTr="000D2C78">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631D9">
            <w:pPr>
              <w:pStyle w:val="BodyText"/>
              <w:rPr>
                <w:lang w:val="en-NZ"/>
              </w:rPr>
            </w:pPr>
            <w:r w:rsidRPr="005631D9">
              <w:t>2.3</w:t>
            </w:r>
          </w:p>
        </w:tc>
        <w:tc>
          <w:tcPr>
            <w:tcW w:w="0" w:type="auto"/>
            <w:tcBorders>
              <w:top w:val="nil"/>
              <w:left w:val="nil"/>
              <w:bottom w:val="nil"/>
              <w:right w:val="nil"/>
            </w:tcBorders>
            <w:tcMar>
              <w:top w:w="0" w:type="dxa"/>
              <w:left w:w="62" w:type="dxa"/>
              <w:bottom w:w="0" w:type="dxa"/>
              <w:right w:w="62" w:type="dxa"/>
            </w:tcMar>
          </w:tcPr>
          <w:p w:rsidR="00000000" w:rsidP="005631D9">
            <w:pPr>
              <w:pStyle w:val="BodyText"/>
              <w:rPr>
                <w:lang w:val="en-NZ"/>
              </w:rPr>
            </w:pPr>
            <w:r w:rsidRPr="005631D9">
              <w:t>Processes and procedures are established to enable despatch and control of evacuation assets in response to tasking</w:t>
            </w:r>
          </w:p>
        </w:tc>
      </w:tr>
      <w:tr w:rsidTr="000D2C78">
        <w:tblPrEx>
          <w:tblW w:w="0" w:type="auto"/>
          <w:tblCellMar>
            <w:left w:w="62" w:type="dxa"/>
            <w:right w:w="62" w:type="dxa"/>
          </w:tblCellMar>
          <w:tblLook w:val="0000"/>
        </w:tblPrEx>
        <w:trPr>
          <w:trHeight w:val="737"/>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631D9">
            <w:pPr>
              <w:pStyle w:val="BodyText"/>
              <w:rPr>
                <w:lang w:val="en-NZ"/>
              </w:rPr>
            </w:pPr>
            <w:r w:rsidRPr="005631D9">
              <w:t>2.4</w:t>
            </w:r>
          </w:p>
        </w:tc>
        <w:tc>
          <w:tcPr>
            <w:tcW w:w="0" w:type="auto"/>
            <w:tcBorders>
              <w:top w:val="nil"/>
              <w:left w:val="nil"/>
              <w:bottom w:val="nil"/>
              <w:right w:val="nil"/>
            </w:tcBorders>
            <w:tcMar>
              <w:top w:w="0" w:type="dxa"/>
              <w:left w:w="62" w:type="dxa"/>
              <w:bottom w:w="0" w:type="dxa"/>
              <w:right w:w="62" w:type="dxa"/>
            </w:tcMar>
          </w:tcPr>
          <w:p w:rsidR="00000000" w:rsidP="005631D9">
            <w:pPr>
              <w:pStyle w:val="BodyText"/>
              <w:rPr>
                <w:lang w:val="en-NZ"/>
              </w:rPr>
            </w:pPr>
            <w:r w:rsidRPr="005631D9">
              <w:t>Evacuation support is delivered to support continuity of care to casualties requiring evacuation via the health element</w:t>
            </w:r>
          </w:p>
        </w:tc>
      </w:tr>
      <w:tr w:rsidTr="000D2C78">
        <w:tblPrEx>
          <w:tblW w:w="0" w:type="auto"/>
          <w:tblCellMar>
            <w:left w:w="62" w:type="dxa"/>
            <w:right w:w="62" w:type="dxa"/>
          </w:tblCellMar>
          <w:tblLook w:val="0000"/>
        </w:tblPrEx>
        <w:trPr>
          <w:trHeight w:val="737"/>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631D9">
            <w:pPr>
              <w:pStyle w:val="BodyText"/>
              <w:rPr>
                <w:lang w:val="en-NZ"/>
              </w:rPr>
            </w:pPr>
            <w:r w:rsidRPr="005631D9">
              <w:t>2.5</w:t>
            </w:r>
          </w:p>
        </w:tc>
        <w:tc>
          <w:tcPr>
            <w:tcW w:w="0" w:type="auto"/>
            <w:tcBorders>
              <w:top w:val="nil"/>
              <w:left w:val="nil"/>
              <w:bottom w:val="nil"/>
              <w:right w:val="nil"/>
            </w:tcBorders>
            <w:tcMar>
              <w:top w:w="0" w:type="dxa"/>
              <w:left w:w="62" w:type="dxa"/>
              <w:bottom w:w="0" w:type="dxa"/>
              <w:right w:w="62" w:type="dxa"/>
            </w:tcMar>
          </w:tcPr>
          <w:p w:rsidR="00000000" w:rsidP="005631D9">
            <w:pPr>
              <w:pStyle w:val="BodyText"/>
              <w:rPr>
                <w:lang w:val="en-NZ"/>
              </w:rPr>
            </w:pPr>
            <w:r w:rsidRPr="005631D9">
              <w:t>Evacuation support is delivered within operational environment constraints allowing for appropriate security and protection of evacuation assets</w:t>
            </w:r>
          </w:p>
        </w:tc>
      </w:tr>
      <w:tr w:rsidTr="000D2C78">
        <w:tblPrEx>
          <w:tblW w:w="0" w:type="auto"/>
          <w:tblCellMar>
            <w:left w:w="62" w:type="dxa"/>
            <w:right w:w="62" w:type="dxa"/>
          </w:tblCellMar>
          <w:tblLook w:val="0000"/>
        </w:tblPrEx>
        <w:trPr>
          <w:trHeight w:val="737"/>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631D9">
            <w:pPr>
              <w:pStyle w:val="BodyText"/>
              <w:rPr>
                <w:lang w:val="en-NZ"/>
              </w:rPr>
            </w:pPr>
            <w:r w:rsidRPr="005631D9">
              <w:t>2.6</w:t>
            </w:r>
          </w:p>
        </w:tc>
        <w:tc>
          <w:tcPr>
            <w:tcW w:w="0" w:type="auto"/>
            <w:tcBorders>
              <w:top w:val="nil"/>
              <w:left w:val="nil"/>
              <w:bottom w:val="nil"/>
              <w:right w:val="nil"/>
            </w:tcBorders>
            <w:tcMar>
              <w:top w:w="0" w:type="dxa"/>
              <w:left w:w="62" w:type="dxa"/>
              <w:bottom w:w="0" w:type="dxa"/>
              <w:right w:w="62" w:type="dxa"/>
            </w:tcMar>
          </w:tcPr>
          <w:p w:rsidR="00000000" w:rsidP="005631D9">
            <w:pPr>
              <w:pStyle w:val="BodyText"/>
              <w:rPr>
                <w:lang w:val="en-NZ"/>
              </w:rPr>
            </w:pPr>
            <w:r w:rsidRPr="005631D9">
              <w:t>Reception and despatch of casualties with other evacuation modes is coordinated</w:t>
            </w:r>
          </w:p>
        </w:tc>
      </w:tr>
      <w:tr w:rsidTr="000D2C78">
        <w:tblPrEx>
          <w:tblW w:w="0" w:type="auto"/>
          <w:tblCellMar>
            <w:left w:w="62" w:type="dxa"/>
            <w:right w:w="62" w:type="dxa"/>
          </w:tblCellMar>
          <w:tblLook w:val="0000"/>
        </w:tblPrEx>
        <w:trPr>
          <w:trHeight w:val="737"/>
        </w:trPr>
        <w:tc>
          <w:tcPr>
            <w:tcW w:w="0" w:type="auto"/>
            <w:vMerge w:val="restart"/>
            <w:tcBorders>
              <w:top w:val="nil"/>
              <w:left w:val="nil"/>
              <w:bottom w:val="nil"/>
              <w:right w:val="nil"/>
            </w:tcBorders>
            <w:tcMar>
              <w:top w:w="0" w:type="dxa"/>
              <w:left w:w="62" w:type="dxa"/>
              <w:bottom w:w="0" w:type="dxa"/>
              <w:right w:w="62" w:type="dxa"/>
            </w:tcMar>
          </w:tcPr>
          <w:p w:rsidR="00000000" w:rsidRPr="005631D9" w:rsidP="005631D9">
            <w:pPr>
              <w:pStyle w:val="BodyText"/>
            </w:pPr>
            <w:r w:rsidRPr="005631D9">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P="005631D9">
            <w:pPr>
              <w:pStyle w:val="BodyText"/>
              <w:rPr>
                <w:lang w:val="en-NZ"/>
              </w:rPr>
            </w:pPr>
            <w:r w:rsidRPr="005631D9">
              <w:rPr>
                <w:rStyle w:val="SpecialBold"/>
              </w:rPr>
              <w:t>Manage health support</w:t>
            </w:r>
          </w:p>
        </w:tc>
        <w:tc>
          <w:tcPr>
            <w:tcW w:w="0" w:type="auto"/>
            <w:tcBorders>
              <w:top w:val="nil"/>
              <w:left w:val="nil"/>
              <w:bottom w:val="nil"/>
              <w:right w:val="nil"/>
            </w:tcBorders>
            <w:tcMar>
              <w:top w:w="0" w:type="dxa"/>
              <w:left w:w="62" w:type="dxa"/>
              <w:bottom w:w="0" w:type="dxa"/>
              <w:right w:w="62" w:type="dxa"/>
            </w:tcMar>
          </w:tcPr>
          <w:p w:rsidR="00000000" w:rsidP="005631D9">
            <w:pPr>
              <w:pStyle w:val="BodyText"/>
              <w:rPr>
                <w:lang w:val="en-NZ"/>
              </w:rPr>
            </w:pPr>
            <w:r w:rsidRPr="005631D9">
              <w:t>3.1</w:t>
            </w:r>
          </w:p>
        </w:tc>
        <w:tc>
          <w:tcPr>
            <w:tcW w:w="0" w:type="auto"/>
            <w:tcBorders>
              <w:top w:val="nil"/>
              <w:left w:val="nil"/>
              <w:bottom w:val="nil"/>
              <w:right w:val="nil"/>
            </w:tcBorders>
            <w:tcMar>
              <w:top w:w="0" w:type="dxa"/>
              <w:left w:w="62" w:type="dxa"/>
              <w:bottom w:w="0" w:type="dxa"/>
              <w:right w:w="62" w:type="dxa"/>
            </w:tcMar>
          </w:tcPr>
          <w:p w:rsidR="00000000" w:rsidP="005631D9">
            <w:pPr>
              <w:pStyle w:val="BodyText"/>
              <w:rPr>
                <w:lang w:val="en-NZ"/>
              </w:rPr>
            </w:pPr>
            <w:r w:rsidRPr="005631D9">
              <w:t>Interrelationship between health elements is managed to enable continuity of care as patient transitions through care agencies</w:t>
            </w:r>
          </w:p>
        </w:tc>
      </w:tr>
      <w:tr w:rsidTr="000D2C78">
        <w:tblPrEx>
          <w:tblW w:w="0" w:type="auto"/>
          <w:tblCellMar>
            <w:left w:w="62" w:type="dxa"/>
            <w:right w:w="62" w:type="dxa"/>
          </w:tblCellMar>
          <w:tblLook w:val="0000"/>
        </w:tblPrEx>
        <w:trPr>
          <w:trHeight w:val="737"/>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631D9">
            <w:pPr>
              <w:pStyle w:val="BodyText"/>
              <w:rPr>
                <w:lang w:val="en-NZ"/>
              </w:rPr>
            </w:pPr>
            <w:r w:rsidRPr="005631D9">
              <w:t>3.2</w:t>
            </w:r>
          </w:p>
        </w:tc>
        <w:tc>
          <w:tcPr>
            <w:tcW w:w="0" w:type="auto"/>
            <w:tcBorders>
              <w:top w:val="nil"/>
              <w:left w:val="nil"/>
              <w:bottom w:val="nil"/>
              <w:right w:val="nil"/>
            </w:tcBorders>
            <w:tcMar>
              <w:top w:w="0" w:type="dxa"/>
              <w:left w:w="62" w:type="dxa"/>
              <w:bottom w:w="0" w:type="dxa"/>
              <w:right w:w="62" w:type="dxa"/>
            </w:tcMar>
          </w:tcPr>
          <w:p w:rsidR="00000000" w:rsidP="005631D9">
            <w:pPr>
              <w:pStyle w:val="BodyText"/>
              <w:rPr>
                <w:lang w:val="en-NZ"/>
              </w:rPr>
            </w:pPr>
            <w:r w:rsidRPr="005631D9">
              <w:t>Health care specialists and providers are consulted to ensure patient holding is appropriate and is balanced with care required and needed to maintain health element mobility</w:t>
            </w:r>
          </w:p>
        </w:tc>
      </w:tr>
      <w:tr w:rsidTr="000D2C78">
        <w:tblPrEx>
          <w:tblW w:w="0" w:type="auto"/>
          <w:tblCellMar>
            <w:left w:w="62" w:type="dxa"/>
            <w:right w:w="62" w:type="dxa"/>
          </w:tblCellMar>
          <w:tblLook w:val="0000"/>
        </w:tblPrEx>
        <w:trPr>
          <w:trHeight w:val="737"/>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631D9">
            <w:pPr>
              <w:pStyle w:val="BodyText"/>
              <w:rPr>
                <w:lang w:val="en-NZ"/>
              </w:rPr>
            </w:pPr>
            <w:r w:rsidRPr="005631D9">
              <w:t>3.3</w:t>
            </w:r>
          </w:p>
        </w:tc>
        <w:tc>
          <w:tcPr>
            <w:tcW w:w="0" w:type="auto"/>
            <w:tcBorders>
              <w:top w:val="nil"/>
              <w:left w:val="nil"/>
              <w:bottom w:val="nil"/>
              <w:right w:val="nil"/>
            </w:tcBorders>
            <w:tcMar>
              <w:top w:w="0" w:type="dxa"/>
              <w:left w:w="62" w:type="dxa"/>
              <w:bottom w:w="0" w:type="dxa"/>
              <w:right w:w="62" w:type="dxa"/>
            </w:tcMar>
          </w:tcPr>
          <w:p w:rsidR="00000000" w:rsidP="005631D9">
            <w:pPr>
              <w:pStyle w:val="BodyText"/>
              <w:rPr>
                <w:lang w:val="en-NZ"/>
              </w:rPr>
            </w:pPr>
            <w:r w:rsidRPr="005631D9">
              <w:t>Patient tracking is managed to ensure accurate picture of patient status a</w:t>
            </w:r>
            <w:r w:rsidRPr="005631D9">
              <w:t>t all times and to ensure personnel administrative system is informed of patient movements</w:t>
            </w:r>
          </w:p>
        </w:tc>
      </w:tr>
      <w:tr w:rsidTr="000D2C78">
        <w:tblPrEx>
          <w:tblW w:w="0" w:type="auto"/>
          <w:tblCellMar>
            <w:left w:w="62" w:type="dxa"/>
            <w:right w:w="62" w:type="dxa"/>
          </w:tblCellMar>
          <w:tblLook w:val="0000"/>
        </w:tblPrEx>
        <w:trPr>
          <w:trHeight w:val="737"/>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631D9">
            <w:pPr>
              <w:pStyle w:val="BodyText"/>
              <w:rPr>
                <w:lang w:val="en-NZ"/>
              </w:rPr>
            </w:pPr>
            <w:r w:rsidRPr="005631D9">
              <w:t>3.4</w:t>
            </w:r>
          </w:p>
        </w:tc>
        <w:tc>
          <w:tcPr>
            <w:tcW w:w="0" w:type="auto"/>
            <w:tcBorders>
              <w:top w:val="nil"/>
              <w:left w:val="nil"/>
              <w:bottom w:val="nil"/>
              <w:right w:val="nil"/>
            </w:tcBorders>
            <w:tcMar>
              <w:top w:w="0" w:type="dxa"/>
              <w:left w:w="62" w:type="dxa"/>
              <w:bottom w:w="0" w:type="dxa"/>
              <w:right w:w="62" w:type="dxa"/>
            </w:tcMar>
          </w:tcPr>
          <w:p w:rsidR="00000000" w:rsidP="005631D9">
            <w:pPr>
              <w:pStyle w:val="BodyText"/>
              <w:rPr>
                <w:lang w:val="en-NZ"/>
              </w:rPr>
            </w:pPr>
            <w:r w:rsidRPr="005631D9">
              <w:t>Health records are maintained to enable accurate recording of care provided and basis for review and ongoing treatment</w:t>
            </w:r>
          </w:p>
        </w:tc>
      </w:tr>
      <w:tr w:rsidTr="000D2C78">
        <w:tblPrEx>
          <w:tblW w:w="0" w:type="auto"/>
          <w:tblCellMar>
            <w:left w:w="62" w:type="dxa"/>
            <w:right w:w="62" w:type="dxa"/>
          </w:tblCellMar>
          <w:tblLook w:val="0000"/>
        </w:tblPrEx>
        <w:trPr>
          <w:trHeight w:val="737"/>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631D9">
            <w:pPr>
              <w:pStyle w:val="BodyText"/>
              <w:rPr>
                <w:lang w:val="en-NZ"/>
              </w:rPr>
            </w:pPr>
            <w:r w:rsidRPr="005631D9">
              <w:t>3.5</w:t>
            </w:r>
          </w:p>
        </w:tc>
        <w:tc>
          <w:tcPr>
            <w:tcW w:w="0" w:type="auto"/>
            <w:tcBorders>
              <w:top w:val="nil"/>
              <w:left w:val="nil"/>
              <w:bottom w:val="nil"/>
              <w:right w:val="nil"/>
            </w:tcBorders>
            <w:tcMar>
              <w:top w:w="0" w:type="dxa"/>
              <w:left w:w="62" w:type="dxa"/>
              <w:bottom w:w="0" w:type="dxa"/>
              <w:right w:w="62" w:type="dxa"/>
            </w:tcMar>
          </w:tcPr>
          <w:p w:rsidR="00000000" w:rsidP="005631D9">
            <w:pPr>
              <w:pStyle w:val="BodyText"/>
              <w:rPr>
                <w:lang w:val="en-NZ"/>
              </w:rPr>
            </w:pPr>
            <w:r w:rsidRPr="005631D9">
              <w:t>Health logistics are managed to ensure health resources available for care are consistent with care required and capability of health element</w:t>
            </w:r>
          </w:p>
        </w:tc>
      </w:tr>
      <w:tr w:rsidTr="000D2C78">
        <w:tblPrEx>
          <w:tblW w:w="0" w:type="auto"/>
          <w:tblCellMar>
            <w:left w:w="62" w:type="dxa"/>
            <w:right w:w="62" w:type="dxa"/>
          </w:tblCellMar>
          <w:tblLook w:val="0000"/>
        </w:tblPrEx>
        <w:trPr>
          <w:trHeight w:val="737"/>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631D9">
            <w:pPr>
              <w:pStyle w:val="BodyText"/>
              <w:rPr>
                <w:lang w:val="en-NZ"/>
              </w:rPr>
            </w:pPr>
            <w:r w:rsidRPr="005631D9">
              <w:t>3.6</w:t>
            </w:r>
          </w:p>
        </w:tc>
        <w:tc>
          <w:tcPr>
            <w:tcW w:w="0" w:type="auto"/>
            <w:tcBorders>
              <w:top w:val="nil"/>
              <w:left w:val="nil"/>
              <w:bottom w:val="nil"/>
              <w:right w:val="nil"/>
            </w:tcBorders>
            <w:tcMar>
              <w:top w:w="0" w:type="dxa"/>
              <w:left w:w="62" w:type="dxa"/>
              <w:bottom w:w="0" w:type="dxa"/>
              <w:right w:w="62" w:type="dxa"/>
            </w:tcMar>
          </w:tcPr>
          <w:p w:rsidR="00000000" w:rsidP="005631D9">
            <w:pPr>
              <w:pStyle w:val="BodyText"/>
              <w:rPr>
                <w:lang w:val="en-NZ"/>
              </w:rPr>
            </w:pPr>
            <w:r w:rsidRPr="005631D9">
              <w:t>Health related reports and returns are prepared and submitted to assist with organisational health planning</w:t>
            </w:r>
            <w:r w:rsidRPr="005631D9">
              <w:t xml:space="preserve"> and coordination</w:t>
            </w:r>
          </w:p>
        </w:tc>
      </w:tr>
      <w:tr w:rsidTr="000D2C78">
        <w:tblPrEx>
          <w:tblW w:w="0" w:type="auto"/>
          <w:tblCellMar>
            <w:left w:w="62" w:type="dxa"/>
            <w:right w:w="62" w:type="dxa"/>
          </w:tblCellMar>
          <w:tblLook w:val="0000"/>
        </w:tblPrEx>
        <w:trPr>
          <w:trHeight w:val="737"/>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631D9">
            <w:pPr>
              <w:pStyle w:val="BodyText"/>
              <w:rPr>
                <w:lang w:val="en-NZ"/>
              </w:rPr>
            </w:pPr>
            <w:r w:rsidRPr="005631D9">
              <w:t>3.7</w:t>
            </w:r>
          </w:p>
        </w:tc>
        <w:tc>
          <w:tcPr>
            <w:tcW w:w="0" w:type="auto"/>
            <w:tcBorders>
              <w:top w:val="nil"/>
              <w:left w:val="nil"/>
              <w:bottom w:val="nil"/>
              <w:right w:val="nil"/>
            </w:tcBorders>
            <w:tcMar>
              <w:top w:w="0" w:type="dxa"/>
              <w:left w:w="62" w:type="dxa"/>
              <w:bottom w:w="0" w:type="dxa"/>
              <w:right w:w="62" w:type="dxa"/>
            </w:tcMar>
          </w:tcPr>
          <w:p w:rsidR="00000000" w:rsidP="005631D9">
            <w:pPr>
              <w:pStyle w:val="BodyText"/>
              <w:rPr>
                <w:lang w:val="en-NZ"/>
              </w:rPr>
            </w:pPr>
            <w:r w:rsidRPr="005631D9">
              <w:t>Knowledge of relevant conventions and laws (such as the Geneva Conventions and the Laws of Armed Conflict) are applied to health support delivery</w:t>
            </w:r>
          </w:p>
        </w:tc>
      </w:tr>
      <w:tr w:rsidTr="000D2C78">
        <w:tblPrEx>
          <w:tblW w:w="0" w:type="auto"/>
          <w:tblCellMar>
            <w:left w:w="62" w:type="dxa"/>
            <w:right w:w="62" w:type="dxa"/>
          </w:tblCellMar>
          <w:tblLook w:val="0000"/>
        </w:tblPrEx>
        <w:trPr>
          <w:trHeight w:val="737"/>
        </w:trPr>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631D9">
            <w:pPr>
              <w:pStyle w:val="BodyText"/>
              <w:rPr>
                <w:lang w:val="en-NZ"/>
              </w:rPr>
            </w:pPr>
            <w:r w:rsidRPr="005631D9">
              <w:t>3.8</w:t>
            </w:r>
          </w:p>
        </w:tc>
        <w:tc>
          <w:tcPr>
            <w:tcW w:w="0" w:type="auto"/>
            <w:tcBorders>
              <w:top w:val="nil"/>
              <w:left w:val="nil"/>
              <w:bottom w:val="nil"/>
              <w:right w:val="nil"/>
            </w:tcBorders>
            <w:tcMar>
              <w:top w:w="0" w:type="dxa"/>
              <w:left w:w="62" w:type="dxa"/>
              <w:bottom w:w="0" w:type="dxa"/>
              <w:right w:w="62" w:type="dxa"/>
            </w:tcMar>
          </w:tcPr>
          <w:p w:rsidR="00000000" w:rsidRPr="005631D9" w:rsidP="005631D9">
            <w:pPr>
              <w:pStyle w:val="BodyText"/>
            </w:pPr>
            <w:r w:rsidRPr="005631D9">
              <w:t>Welfare and administration of patients and health element personnel is monitor</w:t>
            </w:r>
            <w:r w:rsidRPr="005631D9">
              <w:t>ed</w:t>
            </w:r>
          </w:p>
        </w:tc>
      </w:tr>
    </w:tbl>
    <w:p w:rsidR="000D2C78" w:rsidP="005631D9">
      <w:pPr>
        <w:pStyle w:val="BodyText"/>
      </w:pPr>
    </w:p>
    <w:p w:rsidR="000D2C78" w:rsidP="005631D9">
      <w:pPr>
        <w:pStyle w:val="BodyText"/>
      </w:pPr>
    </w:p>
    <w:p w:rsidR="00000000" w:rsidRPr="005631D9" w:rsidP="005631D9">
      <w:pPr>
        <w:pStyle w:val="Heading1"/>
      </w:pPr>
      <w:bookmarkStart w:id="7" w:name="O_755177"/>
      <w:bookmarkEnd w:id="7"/>
      <w:r w:rsidRPr="005631D9">
        <w:t>Foundation Skills</w:t>
      </w:r>
    </w:p>
    <w:p w:rsidR="000D2C78" w:rsidP="000D2C78">
      <w:pPr>
        <w:pStyle w:val="BodyText"/>
      </w:pPr>
      <w:r w:rsidRPr="005631D9">
        <w:t>Foundation skills essential to performance are explicit in the performance criteria of this unit of competency.</w:t>
      </w:r>
    </w:p>
    <w:p w:rsidR="00000000" w:rsidRPr="005631D9" w:rsidP="005631D9">
      <w:pPr>
        <w:pStyle w:val="Heading1"/>
      </w:pPr>
      <w:bookmarkStart w:id="8" w:name="O_755178"/>
      <w:bookmarkEnd w:id="8"/>
      <w:r w:rsidRPr="005631D9">
        <w:t>Range of Conditions</w:t>
      </w:r>
    </w:p>
    <w:p w:rsidR="00000000" w:rsidRPr="005631D9" w:rsidP="000D2C78">
      <w:pPr>
        <w:pStyle w:val="BodyText"/>
      </w:pPr>
      <w:r w:rsidRPr="005631D9">
        <w:t>Range is restricted to essential operating conditions and any other variables essential to the work environment.</w:t>
      </w:r>
    </w:p>
    <w:p w:rsidR="000D2C78" w:rsidP="000D2C78">
      <w:pPr>
        <w:pStyle w:val="BodyText"/>
      </w:pPr>
      <w:r w:rsidRPr="005631D9">
        <w:t>Non-essential conditions can be found in the Companion Volume Implementation Guide.</w:t>
      </w:r>
    </w:p>
    <w:p w:rsidR="00000000" w:rsidRPr="005631D9" w:rsidP="005631D9">
      <w:pPr>
        <w:pStyle w:val="Heading1"/>
      </w:pPr>
      <w:bookmarkStart w:id="9" w:name="O_755179"/>
      <w:bookmarkEnd w:id="9"/>
      <w:r w:rsidRPr="005631D9">
        <w:t>Unit Mapping Information</w:t>
      </w:r>
    </w:p>
    <w:p w:rsidR="000D2C78" w:rsidP="000D2C78">
      <w:pPr>
        <w:pStyle w:val="BodyText"/>
      </w:pPr>
      <w:r w:rsidRPr="005631D9">
        <w:t>This unit replac</w:t>
      </w:r>
      <w:r w:rsidRPr="005631D9">
        <w:t>es and is equivalent to TLIX5044A Organise health support operations.</w:t>
      </w:r>
    </w:p>
    <w:p w:rsidR="00000000" w:rsidRPr="005631D9" w:rsidP="005631D9">
      <w:pPr>
        <w:pStyle w:val="Heading1"/>
      </w:pPr>
      <w:bookmarkStart w:id="10" w:name="O_755186"/>
      <w:bookmarkEnd w:id="10"/>
      <w:r w:rsidRPr="005631D9">
        <w:t>Links</w:t>
      </w:r>
    </w:p>
    <w:p w:rsidR="00000000" w:rsidRPr="005631D9" w:rsidP="000D2C78">
      <w:pPr>
        <w:pStyle w:val="BodyText"/>
      </w:pPr>
      <w:r w:rsidRPr="005631D9">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072D21">
        <w:rPr>
          <w:rStyle w:val="Hyperlink"/>
        </w:rPr>
        <w:t>https://vetnet.gov.au/Pages/TrainingDocs.aspx?q=df441c6e-213d-43e3-874c-0b3f7036d851</w:t>
      </w:r>
      <w:r>
        <w:fldChar w:fldCharType="end"/>
      </w:r>
    </w:p>
    <w:p w:rsidR="00000000" w:rsidRPr="005631D9" w:rsidP="000D2C78">
      <w:pPr>
        <w:pStyle w:val="BodyText"/>
        <w:sectPr w:rsidSect="005631D9">
          <w:headerReference w:type="default" r:id="rId10"/>
          <w:footerReference w:type="default" r:id="rId11"/>
          <w:pgSz w:w="11908" w:h="16833"/>
          <w:pgMar w:top="1702" w:right="1418" w:bottom="1702" w:left="1418" w:header="992" w:footer="992" w:gutter="0"/>
          <w:cols w:space="720"/>
          <w:noEndnote/>
          <w:docGrid w:linePitch="299"/>
        </w:sectPr>
      </w:pPr>
    </w:p>
    <w:p w:rsidR="00000000" w:rsidRPr="005631D9" w:rsidP="005631D9">
      <w:pPr>
        <w:pStyle w:val="SuperHeading"/>
      </w:pPr>
      <w:r w:rsidRPr="005631D9">
        <w:t>Assessment Requirements for TLIX5044 Organise health support operations</w:t>
      </w:r>
    </w:p>
    <w:p w:rsidR="00000000" w:rsidRPr="005631D9" w:rsidP="005631D9">
      <w:pPr>
        <w:pStyle w:val="Heading1"/>
      </w:pPr>
      <w:bookmarkStart w:id="11" w:name="O_755181"/>
      <w:bookmarkEnd w:id="11"/>
      <w:r w:rsidRPr="005631D9">
        <w:t>Modification History</w:t>
      </w:r>
    </w:p>
    <w:p w:rsidR="000D2C78" w:rsidP="000D2C78">
      <w:pPr>
        <w:pStyle w:val="BodyText"/>
      </w:pPr>
      <w:r w:rsidRPr="005631D9">
        <w:t>Release 1. This is the first release of this unit of competency in the TLI Transport and Logistics Training Package.</w:t>
      </w:r>
    </w:p>
    <w:p w:rsidR="00000000" w:rsidRPr="005631D9" w:rsidP="005631D9">
      <w:pPr>
        <w:pStyle w:val="Heading1"/>
      </w:pPr>
      <w:bookmarkStart w:id="12" w:name="O_755182"/>
      <w:bookmarkEnd w:id="12"/>
      <w:r w:rsidRPr="005631D9">
        <w:t>Performance Evidence</w:t>
      </w:r>
    </w:p>
    <w:tbl>
      <w:tblPr>
        <w:tblW w:w="0" w:type="auto"/>
        <w:tblCellMar>
          <w:left w:w="62" w:type="dxa"/>
          <w:right w:w="62" w:type="dxa"/>
        </w:tblCellMar>
        <w:tblLook w:val="0000"/>
      </w:tblPr>
      <w:tblGrid>
        <w:gridCol w:w="9196"/>
      </w:tblGrid>
      <w:tr w:rsidTr="000D2C78">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5631D9">
            <w:pPr>
              <w:pStyle w:val="BodyText"/>
              <w:rPr>
                <w:lang w:val="en-NZ"/>
              </w:rPr>
            </w:pPr>
            <w:r w:rsidRPr="005631D9">
              <w:t>Evidence required to demonstrate competence in this unit must be relevant to and satisfy all of the requirements of the elements and performance criteria on at least one occasion and include:</w:t>
            </w:r>
          </w:p>
        </w:tc>
      </w:tr>
      <w:tr w:rsidTr="000D2C78">
        <w:tblPrEx>
          <w:tblW w:w="0" w:type="auto"/>
          <w:tblCellMar>
            <w:left w:w="62" w:type="dxa"/>
            <w:right w:w="62" w:type="dxa"/>
          </w:tblCellMar>
          <w:tblLook w:val="0000"/>
        </w:tblPrEx>
        <w:trPr>
          <w:trHeight w:val="2752"/>
        </w:trPr>
        <w:tc>
          <w:tcPr>
            <w:tcW w:w="0" w:type="auto"/>
            <w:tcBorders>
              <w:top w:val="nil"/>
              <w:left w:val="nil"/>
              <w:bottom w:val="nil"/>
              <w:right w:val="nil"/>
            </w:tcBorders>
            <w:tcMar>
              <w:top w:w="0" w:type="dxa"/>
              <w:left w:w="62" w:type="dxa"/>
              <w:bottom w:w="0" w:type="dxa"/>
              <w:right w:w="62" w:type="dxa"/>
            </w:tcMar>
          </w:tcPr>
          <w:p w:rsidR="00000000" w:rsidRPr="005631D9" w:rsidP="005631D9">
            <w:pPr>
              <w:pStyle w:val="ListBullet"/>
            </w:pPr>
            <w:r w:rsidRPr="005631D9">
              <w:t>applying knowledge of health planning and coordination</w:t>
            </w:r>
          </w:p>
          <w:p w:rsidR="00000000" w:rsidRPr="005631D9" w:rsidP="005631D9">
            <w:pPr>
              <w:pStyle w:val="ListBullet"/>
            </w:pPr>
            <w:r w:rsidRPr="005631D9">
              <w:t>applyin</w:t>
            </w:r>
            <w:r w:rsidRPr="005631D9">
              <w:t>g health planning tools to inform health planning</w:t>
            </w:r>
          </w:p>
          <w:p w:rsidR="00000000" w:rsidRPr="005631D9" w:rsidP="005631D9">
            <w:pPr>
              <w:pStyle w:val="ListBullet"/>
            </w:pPr>
            <w:r w:rsidRPr="005631D9">
              <w:t>delivering clear, concise, accurate and authoritative instructions</w:t>
            </w:r>
          </w:p>
          <w:p w:rsidR="00000000" w:rsidRPr="005631D9" w:rsidP="005631D9">
            <w:pPr>
              <w:pStyle w:val="ListBullet"/>
            </w:pPr>
            <w:r w:rsidRPr="005631D9">
              <w:t>identifying relationships between organisational goals and recognising how own planning contributes to achieving these goals</w:t>
            </w:r>
          </w:p>
          <w:p w:rsidR="00000000" w:rsidRPr="005631D9" w:rsidP="005631D9">
            <w:pPr>
              <w:pStyle w:val="ListBullet"/>
            </w:pPr>
            <w:r w:rsidRPr="005631D9">
              <w:t>leading a team of medical experts as required</w:t>
            </w:r>
          </w:p>
          <w:p w:rsidR="00000000" w:rsidRPr="005631D9" w:rsidP="005631D9">
            <w:pPr>
              <w:pStyle w:val="ListBullet"/>
            </w:pPr>
            <w:r w:rsidRPr="005631D9">
              <w:t>liaising with external agencies to coordinate health support</w:t>
            </w:r>
          </w:p>
          <w:p w:rsidR="00000000" w:rsidRPr="005631D9" w:rsidP="005631D9">
            <w:pPr>
              <w:pStyle w:val="ListBullet"/>
            </w:pPr>
            <w:r w:rsidRPr="005631D9">
              <w:t>preparing health related reports and returns</w:t>
            </w:r>
          </w:p>
          <w:p w:rsidR="00000000" w:rsidRPr="005631D9" w:rsidP="005631D9">
            <w:pPr>
              <w:pStyle w:val="ListBullet"/>
            </w:pPr>
            <w:r w:rsidRPr="005631D9">
              <w:t>supervising a team of health care workers</w:t>
            </w:r>
          </w:p>
          <w:p w:rsidR="00000000" w:rsidRPr="005631D9" w:rsidP="005631D9">
            <w:pPr>
              <w:pStyle w:val="ListBullet"/>
            </w:pPr>
            <w:r w:rsidRPr="005631D9">
              <w:t>using information technology and software</w:t>
            </w:r>
          </w:p>
          <w:p w:rsidR="00000000" w:rsidRPr="005631D9" w:rsidP="005631D9">
            <w:pPr>
              <w:pStyle w:val="ListBullet"/>
            </w:pPr>
            <w:r w:rsidRPr="005631D9">
              <w:t>working closely with</w:t>
            </w:r>
            <w:r w:rsidRPr="005631D9">
              <w:t xml:space="preserve"> a senior clinical officer to coordinate health support.</w:t>
            </w:r>
          </w:p>
        </w:tc>
      </w:tr>
    </w:tbl>
    <w:p w:rsidR="000D2C78" w:rsidP="005631D9">
      <w:pPr>
        <w:pStyle w:val="BodyText"/>
      </w:pPr>
    </w:p>
    <w:p w:rsidR="000D2C78" w:rsidP="005631D9">
      <w:pPr>
        <w:pStyle w:val="BodyText"/>
      </w:pPr>
    </w:p>
    <w:p w:rsidR="00000000" w:rsidRPr="005631D9" w:rsidP="005631D9">
      <w:pPr>
        <w:pStyle w:val="Heading1"/>
      </w:pPr>
      <w:bookmarkStart w:id="13" w:name="O_755183"/>
      <w:bookmarkEnd w:id="13"/>
      <w:r w:rsidRPr="005631D9">
        <w:t>Knowledge Evidence</w:t>
      </w:r>
    </w:p>
    <w:tbl>
      <w:tblPr>
        <w:tblW w:w="0" w:type="auto"/>
        <w:tblCellMar>
          <w:left w:w="62" w:type="dxa"/>
          <w:right w:w="62" w:type="dxa"/>
        </w:tblCellMar>
        <w:tblLook w:val="0000"/>
      </w:tblPr>
      <w:tblGrid>
        <w:gridCol w:w="9196"/>
      </w:tblGrid>
      <w:tr w:rsidTr="000D2C78">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5631D9">
            <w:pPr>
              <w:pStyle w:val="BodyText"/>
              <w:rPr>
                <w:lang w:val="en-NZ"/>
              </w:rPr>
            </w:pPr>
            <w:r w:rsidRPr="005631D9">
              <w:t>Evidence required to demonstrate competence in this unit must be relevant to and satisfy all of the requirements of the elements and performance criteria and in</w:t>
            </w:r>
            <w:r w:rsidRPr="005631D9">
              <w:t>clude knowledge of:</w:t>
            </w:r>
          </w:p>
        </w:tc>
      </w:tr>
      <w:tr w:rsidTr="000D2C78">
        <w:tblPrEx>
          <w:tblW w:w="0" w:type="auto"/>
          <w:tblCellMar>
            <w:left w:w="62" w:type="dxa"/>
            <w:right w:w="62" w:type="dxa"/>
          </w:tblCellMar>
          <w:tblLook w:val="0000"/>
        </w:tblPrEx>
        <w:trPr>
          <w:trHeight w:val="284"/>
        </w:trPr>
        <w:tc>
          <w:tcPr>
            <w:tcW w:w="0" w:type="auto"/>
            <w:tcBorders>
              <w:top w:val="nil"/>
              <w:left w:val="nil"/>
              <w:bottom w:val="nil"/>
              <w:right w:val="nil"/>
            </w:tcBorders>
            <w:tcMar>
              <w:top w:w="0" w:type="dxa"/>
              <w:left w:w="62" w:type="dxa"/>
              <w:bottom w:w="0" w:type="dxa"/>
              <w:right w:w="62" w:type="dxa"/>
            </w:tcMar>
          </w:tcPr>
          <w:p w:rsidR="00000000" w:rsidRPr="005631D9" w:rsidP="005631D9">
            <w:pPr>
              <w:pStyle w:val="ListBullet"/>
            </w:pPr>
            <w:r w:rsidRPr="005631D9">
              <w:t>health stores and equipment resupply systems and procedures</w:t>
            </w:r>
          </w:p>
          <w:p w:rsidR="00000000" w:rsidRPr="005631D9" w:rsidP="005631D9">
            <w:pPr>
              <w:pStyle w:val="ListBullet"/>
            </w:pPr>
            <w:r w:rsidRPr="005631D9">
              <w:t>legislative and regulatory environment as it relates to materiel logistics</w:t>
            </w:r>
          </w:p>
          <w:p w:rsidR="00000000" w:rsidRPr="005631D9" w:rsidP="005631D9">
            <w:pPr>
              <w:pStyle w:val="ListBullet"/>
            </w:pPr>
            <w:r w:rsidRPr="005631D9">
              <w:t>logistics support analysis principles and processes</w:t>
            </w:r>
          </w:p>
          <w:p w:rsidR="00000000" w:rsidRPr="005631D9" w:rsidP="005631D9">
            <w:pPr>
              <w:pStyle w:val="ListBullet"/>
            </w:pPr>
            <w:r w:rsidRPr="005631D9">
              <w:t>organisational policy and procedures</w:t>
            </w:r>
          </w:p>
          <w:p w:rsidR="00000000" w:rsidRPr="005631D9" w:rsidP="005631D9">
            <w:pPr>
              <w:pStyle w:val="ListBullet"/>
            </w:pPr>
            <w:r w:rsidRPr="005631D9">
              <w:t>organisational role relevant to specialist logistic support</w:t>
            </w:r>
          </w:p>
          <w:p w:rsidR="00000000" w:rsidRPr="005631D9" w:rsidP="005631D9">
            <w:pPr>
              <w:pStyle w:val="ListBullet"/>
            </w:pPr>
            <w:r w:rsidRPr="005631D9">
              <w:t>patient tracking and administration</w:t>
            </w:r>
          </w:p>
          <w:p w:rsidR="00000000" w:rsidRPr="005631D9" w:rsidP="005631D9">
            <w:pPr>
              <w:pStyle w:val="ListBullet"/>
            </w:pPr>
            <w:r w:rsidRPr="005631D9">
              <w:t>planning processes</w:t>
            </w:r>
          </w:p>
          <w:p w:rsidR="00000000" w:rsidRPr="005631D9" w:rsidP="005631D9">
            <w:pPr>
              <w:pStyle w:val="ListBullet"/>
            </w:pPr>
            <w:r w:rsidRPr="005631D9">
              <w:t>policy and procedures relating to evacuation</w:t>
            </w:r>
          </w:p>
          <w:p w:rsidR="00000000" w:rsidRPr="005631D9" w:rsidP="005631D9">
            <w:pPr>
              <w:pStyle w:val="ListBullet"/>
            </w:pPr>
            <w:r w:rsidRPr="005631D9">
              <w:t>preparedness requirements of health personnel</w:t>
            </w:r>
          </w:p>
          <w:p w:rsidR="00000000" w:rsidRPr="005631D9" w:rsidP="005631D9">
            <w:pPr>
              <w:pStyle w:val="ListBullet"/>
            </w:pPr>
            <w:r w:rsidRPr="005631D9">
              <w:t xml:space="preserve">principles of health support </w:t>
            </w:r>
          </w:p>
          <w:p w:rsidR="00000000" w:rsidRPr="005631D9" w:rsidP="005631D9">
            <w:pPr>
              <w:pStyle w:val="ListBullet"/>
            </w:pPr>
            <w:r w:rsidRPr="005631D9">
              <w:t>requirements relatin</w:t>
            </w:r>
            <w:r w:rsidRPr="005631D9">
              <w:t>g to managing health waste</w:t>
            </w:r>
          </w:p>
          <w:p w:rsidR="00000000" w:rsidRPr="005631D9" w:rsidP="005631D9">
            <w:pPr>
              <w:pStyle w:val="ListBullet"/>
            </w:pPr>
            <w:r w:rsidRPr="005631D9">
              <w:t>supplying, handling and storing blood products</w:t>
            </w:r>
          </w:p>
          <w:p w:rsidR="00000000" w:rsidRPr="005631D9" w:rsidP="005631D9">
            <w:pPr>
              <w:pStyle w:val="ListBullet"/>
            </w:pPr>
            <w:r w:rsidRPr="005631D9">
              <w:t>tasks and composition of health elements and their points of interaction.</w:t>
            </w:r>
          </w:p>
        </w:tc>
      </w:tr>
    </w:tbl>
    <w:p w:rsidR="00000000" w:rsidRPr="005631D9" w:rsidP="005631D9">
      <w:pPr>
        <w:pStyle w:val="BodyText"/>
      </w:pPr>
    </w:p>
    <w:p w:rsidR="00000000" w:rsidRPr="005631D9" w:rsidP="005631D9">
      <w:pPr>
        <w:pStyle w:val="AllowPageBreak"/>
      </w:pPr>
    </w:p>
    <w:p w:rsidR="00000000" w:rsidRPr="005631D9" w:rsidP="005631D9">
      <w:pPr>
        <w:pStyle w:val="Heading1"/>
      </w:pPr>
      <w:bookmarkStart w:id="14" w:name="O_755184"/>
      <w:bookmarkEnd w:id="14"/>
      <w:r w:rsidRPr="005631D9">
        <w:t>Assessment Conditions</w:t>
      </w:r>
    </w:p>
    <w:tbl>
      <w:tblPr>
        <w:tblW w:w="0" w:type="auto"/>
        <w:tblCellMar>
          <w:left w:w="62" w:type="dxa"/>
          <w:right w:w="62" w:type="dxa"/>
        </w:tblCellMar>
        <w:tblLook w:val="0000"/>
      </w:tblPr>
      <w:tblGrid>
        <w:gridCol w:w="9196"/>
      </w:tblGrid>
      <w:tr w:rsidTr="000D2C7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631D9" w:rsidP="005631D9">
            <w:pPr>
              <w:pStyle w:val="BodyText"/>
            </w:pPr>
            <w:r w:rsidRPr="005631D9">
              <w:t xml:space="preserve">As a minimum, assessors must satisfy applicable regulatory requirements, which include requirements in the </w:t>
            </w:r>
            <w:r w:rsidRPr="005631D9">
              <w:rPr>
                <w:rStyle w:val="Emphasis"/>
              </w:rPr>
              <w:t>Standards for Registered Training Organisations</w:t>
            </w:r>
            <w:r w:rsidRPr="005631D9">
              <w:t xml:space="preserve"> current at the time of assessment. </w:t>
            </w:r>
          </w:p>
          <w:p w:rsidR="00000000" w:rsidRPr="005631D9" w:rsidP="005631D9">
            <w:pPr>
              <w:pStyle w:val="BodyText"/>
            </w:pPr>
            <w:r w:rsidRPr="005631D9">
              <w:t>As a minimum, assessment must satisfy applicable regulatory requi</w:t>
            </w:r>
            <w:r w:rsidRPr="005631D9">
              <w:t xml:space="preserve">rements, which include requirements in the </w:t>
            </w:r>
            <w:r w:rsidRPr="005631D9">
              <w:rPr>
                <w:rStyle w:val="Emphasis"/>
              </w:rPr>
              <w:t>Standards for Registered Training Organisations</w:t>
            </w:r>
            <w:r w:rsidRPr="005631D9">
              <w:t>, current at the time of assessment.</w:t>
            </w:r>
          </w:p>
          <w:p w:rsidR="00000000" w:rsidRPr="005631D9" w:rsidP="005631D9">
            <w:pPr>
              <w:pStyle w:val="BodyText"/>
            </w:pPr>
            <w:r w:rsidRPr="005631D9">
              <w:t>Assessment must occur in workplace operational situations where it is appropriate to do so; where this is not appropriate, assess</w:t>
            </w:r>
            <w:r w:rsidRPr="005631D9">
              <w:t xml:space="preserve">ment must occur in simulated workplace operational situations that replicate workplace conditions. </w:t>
            </w:r>
          </w:p>
          <w:p w:rsidR="00000000" w:rsidRPr="005631D9" w:rsidP="005631D9">
            <w:pPr>
              <w:pStyle w:val="BodyText"/>
            </w:pPr>
            <w:r w:rsidRPr="005631D9">
              <w:t>Assessment processes and techniques must be appropriate to the language, literacy and numeracy requirements of the work being performed and the needs of the</w:t>
            </w:r>
            <w:r w:rsidRPr="005631D9">
              <w:t xml:space="preserve"> candidate.</w:t>
            </w:r>
          </w:p>
          <w:p w:rsidR="00000000" w:rsidRPr="005631D9" w:rsidP="005631D9">
            <w:pPr>
              <w:pStyle w:val="BodyText"/>
            </w:pPr>
            <w:r w:rsidRPr="005631D9">
              <w:t>Resources for assessment include:</w:t>
            </w:r>
          </w:p>
          <w:p w:rsidR="00000000" w:rsidRPr="005631D9" w:rsidP="005631D9">
            <w:pPr>
              <w:pStyle w:val="ListBullet"/>
            </w:pPr>
            <w:r w:rsidRPr="005631D9">
              <w:t>a range of relevant exercises, case studies and/or simulations</w:t>
            </w:r>
          </w:p>
          <w:p w:rsidR="00000000" w:rsidRPr="005631D9" w:rsidP="005631D9">
            <w:pPr>
              <w:pStyle w:val="ListBullet"/>
            </w:pPr>
            <w:r w:rsidRPr="005631D9">
              <w:t xml:space="preserve">relevant and appropriate materials, tools, equipment and personal protective equipment currently used in industry </w:t>
            </w:r>
          </w:p>
          <w:p w:rsidR="00000000" w:rsidRPr="005631D9" w:rsidP="005631D9">
            <w:pPr>
              <w:pStyle w:val="ListBullet"/>
            </w:pPr>
            <w:r w:rsidRPr="005631D9">
              <w:t>applicable documentation includ</w:t>
            </w:r>
            <w:r w:rsidRPr="005631D9">
              <w:t>ing workplace procedures, regulations, codes of practice and operation manuals.</w:t>
            </w:r>
          </w:p>
        </w:tc>
      </w:tr>
    </w:tbl>
    <w:p w:rsidR="000D2C78" w:rsidP="005631D9">
      <w:pPr>
        <w:pStyle w:val="BodyText"/>
      </w:pPr>
    </w:p>
    <w:p w:rsidR="000D2C78" w:rsidP="005631D9">
      <w:pPr>
        <w:pStyle w:val="BodyText"/>
      </w:pPr>
    </w:p>
    <w:p w:rsidR="00000000" w:rsidRPr="005631D9" w:rsidP="005631D9">
      <w:pPr>
        <w:pStyle w:val="Heading1"/>
      </w:pPr>
      <w:bookmarkStart w:id="15" w:name="O_755187"/>
      <w:bookmarkEnd w:id="15"/>
      <w:r w:rsidRPr="005631D9">
        <w:t>Links</w:t>
      </w:r>
    </w:p>
    <w:p w:rsidR="00000000" w:rsidRPr="005631D9" w:rsidP="000D2C78">
      <w:pPr>
        <w:pStyle w:val="BodyText"/>
      </w:pPr>
      <w:r w:rsidRPr="005631D9">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072D21">
        <w:rPr>
          <w:rStyle w:val="Hyperlink"/>
        </w:rPr>
        <w:t>https://vetnet.gov.au/Pages/TrainingDocs.aspx?q=df441c6e-213d-43e3-874c-0b3f7036d851</w:t>
      </w:r>
      <w:r>
        <w:fldChar w:fldCharType="end"/>
      </w:r>
    </w:p>
    <w:p w:rsidR="00000000" w:rsidRPr="005631D9" w:rsidP="005631D9"/>
    <w:sectPr w:rsidSect="005631D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1D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1D9" w:rsidRPr="000D2C78" w:rsidP="000D2C7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1D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2C78" w:rsidP="005631D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D2C78" w:rsidP="005631D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0D2C78" w:rsidP="005631D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1D9" w:rsidP="005631D9">
    <w:pPr>
      <w:pStyle w:val="Footer"/>
      <w:framePr w:wrap="around"/>
    </w:pPr>
    <w:r>
      <w:fldChar w:fldCharType="begin"/>
    </w:r>
    <w:r>
      <w:instrText xml:space="preserve"> DOCPROPERTY  Subject  \* MERGEFORMAT </w:instrText>
    </w:r>
    <w:r>
      <w:fldChar w:fldCharType="separate"/>
    </w:r>
    <w:r w:rsidR="000D2C78">
      <w:t>Approved</w:t>
    </w:r>
    <w:r w:rsidR="000D2C78">
      <w:fldChar w:fldCharType="end"/>
    </w:r>
    <w:r>
      <w:tab/>
      <w:t xml:space="preserve">Page </w:t>
    </w:r>
    <w:r>
      <w:fldChar w:fldCharType="begin"/>
    </w:r>
    <w:r>
      <w:instrText xml:space="preserve"> PAGE  \* Arabic  \* MERGEFORMAT </w:instrText>
    </w:r>
    <w:r>
      <w:fldChar w:fldCharType="separate"/>
    </w:r>
    <w:r w:rsidR="000D2C78">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D2C78">
      <w:rPr>
        <w:noProof/>
      </w:rPr>
      <w:t>5</w:t>
    </w:r>
    <w:r>
      <w:rPr>
        <w:noProof/>
      </w:rPr>
      <w:fldChar w:fldCharType="end"/>
    </w:r>
  </w:p>
  <w:p w:rsidR="005631D9" w:rsidP="005631D9">
    <w:pPr>
      <w:pStyle w:val="Footer"/>
      <w:framePr w:wrap="around"/>
    </w:pPr>
    <w:r>
      <w:t xml:space="preserve">© Commonwealth of Australia, </w:t>
    </w:r>
    <w:r>
      <w:fldChar w:fldCharType="begin"/>
    </w:r>
    <w:r>
      <w:instrText xml:space="preserve"> DATE  \@ "yyyy"  \* MERGEFORMAT </w:instrText>
    </w:r>
    <w:r>
      <w:fldChar w:fldCharType="separate"/>
    </w:r>
    <w:r w:rsidR="000D2C78">
      <w:rPr>
        <w:noProof/>
      </w:rPr>
      <w:t>2025</w:t>
    </w:r>
    <w:r>
      <w:fldChar w:fldCharType="end"/>
    </w:r>
    <w:r>
      <w:tab/>
    </w:r>
    <w:r>
      <w:fldChar w:fldCharType="begin"/>
    </w:r>
    <w:r>
      <w:instrText xml:space="preserve"> DOCPROPERTY  Author  \* MERGEFORMAT </w:instrText>
    </w:r>
    <w:r>
      <w:fldChar w:fldCharType="separate"/>
    </w:r>
    <w:r w:rsidR="000D2C78">
      <w:t>Industry Skills Australia</w:t>
    </w:r>
    <w:r w:rsidR="000D2C78">
      <w:fldChar w:fldCharType="end"/>
    </w:r>
  </w:p>
  <w:p w:rsidR="005631D9" w:rsidP="005631D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1D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2C7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631D9" w:rsidRPr="000D2C78" w:rsidP="000D2C7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1D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2C78" w:rsidRPr="002D2AF8" w:rsidP="005631D9">
    <w:pPr>
      <w:pStyle w:val="Header"/>
      <w:framePr w:wrap="around"/>
    </w:pPr>
    <w:r>
      <w:fldChar w:fldCharType="begin"/>
    </w:r>
    <w:r>
      <w:instrText xml:space="preserve"> TITLE   \* MERGEFORMAT </w:instrText>
    </w:r>
    <w:r>
      <w:fldChar w:fldCharType="separate"/>
    </w:r>
    <w:r>
      <w:t>TLIX5044 Organise health support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D2C78" w:rsidP="005631D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1D9" w:rsidRPr="002D2AF8" w:rsidP="005631D9">
    <w:pPr>
      <w:pStyle w:val="Header"/>
      <w:framePr w:wrap="around"/>
    </w:pPr>
    <w:r>
      <w:fldChar w:fldCharType="begin"/>
    </w:r>
    <w:r>
      <w:instrText xml:space="preserve"> TITLE   \* MERGEFORMAT </w:instrText>
    </w:r>
    <w:r>
      <w:fldChar w:fldCharType="separate"/>
    </w:r>
    <w:r w:rsidR="000D2C78">
      <w:t>TLIX5044 Organise health support operations</w:t>
    </w:r>
    <w:r w:rsidR="000D2C78">
      <w:fldChar w:fldCharType="end"/>
    </w:r>
    <w:r>
      <w:tab/>
      <w:t xml:space="preserve">Date this document was generated: </w:t>
    </w:r>
    <w:r>
      <w:fldChar w:fldCharType="begin"/>
    </w:r>
    <w:r>
      <w:instrText xml:space="preserve"> CREATEDATE  \@ "d MMMM yyyy"  \* MERGEFORMAT </w:instrText>
    </w:r>
    <w:r>
      <w:fldChar w:fldCharType="separate"/>
    </w:r>
    <w:r w:rsidR="000D2C78">
      <w:rPr>
        <w:noProof/>
      </w:rPr>
      <w:t>2 March 2025</w:t>
    </w:r>
    <w:r>
      <w:fldChar w:fldCharType="end"/>
    </w:r>
  </w:p>
  <w:p w:rsidR="005631D9" w:rsidP="005631D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2C09BE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A8C928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31D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631D9"/>
    <w:pPr>
      <w:spacing w:before="360" w:after="60"/>
      <w:outlineLvl w:val="0"/>
    </w:pPr>
    <w:rPr>
      <w:sz w:val="32"/>
    </w:rPr>
  </w:style>
  <w:style w:type="paragraph" w:styleId="Heading2">
    <w:name w:val="heading 2"/>
    <w:basedOn w:val="HeadingBase"/>
    <w:next w:val="BodyText"/>
    <w:link w:val="Heading2Char"/>
    <w:qFormat/>
    <w:rsid w:val="005631D9"/>
    <w:pPr>
      <w:keepLines/>
      <w:spacing w:before="240" w:after="120"/>
      <w:outlineLvl w:val="1"/>
    </w:pPr>
    <w:rPr>
      <w:sz w:val="28"/>
      <w:szCs w:val="40"/>
    </w:rPr>
  </w:style>
  <w:style w:type="paragraph" w:styleId="Heading3">
    <w:name w:val="heading 3"/>
    <w:basedOn w:val="HeadingBase"/>
    <w:next w:val="BodyText"/>
    <w:link w:val="Heading3Char"/>
    <w:qFormat/>
    <w:rsid w:val="005631D9"/>
    <w:pPr>
      <w:spacing w:before="180" w:after="120"/>
      <w:outlineLvl w:val="2"/>
    </w:pPr>
    <w:rPr>
      <w:spacing w:val="-10"/>
      <w:kern w:val="32"/>
    </w:rPr>
  </w:style>
  <w:style w:type="paragraph" w:styleId="Heading4">
    <w:name w:val="heading 4"/>
    <w:basedOn w:val="HeadingBase"/>
    <w:next w:val="BodyText"/>
    <w:link w:val="Heading4Char"/>
    <w:qFormat/>
    <w:rsid w:val="005631D9"/>
    <w:pPr>
      <w:spacing w:before="160" w:after="120"/>
      <w:outlineLvl w:val="3"/>
    </w:pPr>
    <w:rPr>
      <w:sz w:val="22"/>
    </w:rPr>
  </w:style>
  <w:style w:type="paragraph" w:styleId="Heading5">
    <w:name w:val="heading 5"/>
    <w:basedOn w:val="HeadingBase"/>
    <w:next w:val="Normal"/>
    <w:link w:val="Heading5Char"/>
    <w:qFormat/>
    <w:rsid w:val="005631D9"/>
    <w:pPr>
      <w:spacing w:before="80"/>
      <w:outlineLvl w:val="4"/>
    </w:pPr>
    <w:rPr>
      <w:color w:val="918585"/>
      <w:sz w:val="20"/>
    </w:rPr>
  </w:style>
  <w:style w:type="paragraph" w:styleId="Heading6">
    <w:name w:val="heading 6"/>
    <w:basedOn w:val="HeadingBase"/>
    <w:next w:val="Normal"/>
    <w:link w:val="Heading6Char"/>
    <w:qFormat/>
    <w:rsid w:val="005631D9"/>
    <w:pPr>
      <w:spacing w:before="60"/>
      <w:outlineLvl w:val="5"/>
    </w:pPr>
    <w:rPr>
      <w:color w:val="918585"/>
      <w:sz w:val="20"/>
    </w:rPr>
  </w:style>
  <w:style w:type="paragraph" w:styleId="Heading7">
    <w:name w:val="heading 7"/>
    <w:basedOn w:val="Normal"/>
    <w:next w:val="Normal"/>
    <w:link w:val="Heading7Char"/>
    <w:qFormat/>
    <w:rsid w:val="005631D9"/>
    <w:pPr>
      <w:ind w:left="720"/>
      <w:outlineLvl w:val="6"/>
    </w:pPr>
    <w:rPr>
      <w:i/>
    </w:rPr>
  </w:style>
  <w:style w:type="paragraph" w:styleId="Heading8">
    <w:name w:val="heading 8"/>
    <w:basedOn w:val="Normal"/>
    <w:next w:val="Normal"/>
    <w:link w:val="Heading8Char"/>
    <w:qFormat/>
    <w:rsid w:val="005631D9"/>
    <w:pPr>
      <w:ind w:left="720"/>
      <w:outlineLvl w:val="7"/>
    </w:pPr>
    <w:rPr>
      <w:i/>
    </w:rPr>
  </w:style>
  <w:style w:type="paragraph" w:styleId="Heading9">
    <w:name w:val="heading 9"/>
    <w:basedOn w:val="Normal"/>
    <w:next w:val="Normal"/>
    <w:link w:val="Heading9Char"/>
    <w:qFormat/>
    <w:rsid w:val="005631D9"/>
    <w:pPr>
      <w:ind w:left="720"/>
      <w:outlineLvl w:val="8"/>
    </w:pPr>
    <w:rPr>
      <w:i/>
    </w:rPr>
  </w:style>
  <w:style w:type="character" w:default="1" w:styleId="DefaultParagraphFont">
    <w:name w:val="Default Paragraph Font"/>
    <w:uiPriority w:val="1"/>
    <w:unhideWhenUsed/>
    <w:rsid w:val="005631D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631D9"/>
  </w:style>
  <w:style w:type="character" w:customStyle="1" w:styleId="Heading1Char">
    <w:name w:val="Heading 1 Char"/>
    <w:basedOn w:val="DefaultParagraphFont"/>
    <w:link w:val="Heading1"/>
    <w:rsid w:val="005631D9"/>
    <w:rPr>
      <w:rFonts w:ascii="Times New Roman" w:eastAsia="Times New Roman" w:hAnsi="Times New Roman" w:cs="Times New Roman"/>
      <w:b/>
      <w:sz w:val="32"/>
      <w:szCs w:val="20"/>
      <w:lang w:eastAsia="en-US"/>
    </w:rPr>
  </w:style>
  <w:style w:type="paragraph" w:styleId="BodyText">
    <w:name w:val="Body Text"/>
    <w:basedOn w:val="Normal"/>
    <w:link w:val="BodyTextChar"/>
    <w:rsid w:val="005631D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631D9"/>
    <w:rPr>
      <w:rFonts w:ascii="Times New Roman" w:eastAsia="Times New Roman" w:hAnsi="Times New Roman" w:cs="Times New Roman"/>
      <w:sz w:val="24"/>
      <w:lang w:eastAsia="en-US"/>
    </w:rPr>
  </w:style>
  <w:style w:type="paragraph" w:styleId="ListBullet">
    <w:name w:val="List Bullet"/>
    <w:basedOn w:val="List"/>
    <w:rsid w:val="005631D9"/>
    <w:pPr>
      <w:numPr>
        <w:numId w:val="11"/>
      </w:numPr>
      <w:tabs>
        <w:tab w:val="clear" w:pos="340"/>
      </w:tabs>
      <w:spacing w:before="40" w:after="40"/>
    </w:pPr>
  </w:style>
  <w:style w:type="character" w:customStyle="1" w:styleId="SpecialBold">
    <w:name w:val="Special Bold"/>
    <w:basedOn w:val="DefaultParagraphFont"/>
    <w:rsid w:val="005631D9"/>
    <w:rPr>
      <w:b/>
      <w:spacing w:val="0"/>
    </w:rPr>
  </w:style>
  <w:style w:type="character" w:styleId="Emphasis">
    <w:name w:val="Emphasis"/>
    <w:basedOn w:val="DefaultParagraphFont"/>
    <w:qFormat/>
    <w:rsid w:val="005631D9"/>
    <w:rPr>
      <w:i/>
    </w:rPr>
  </w:style>
  <w:style w:type="paragraph" w:customStyle="1" w:styleId="SuperHeading">
    <w:name w:val="SuperHeading"/>
    <w:basedOn w:val="Normal"/>
    <w:rsid w:val="005631D9"/>
    <w:pPr>
      <w:spacing w:before="240" w:after="120"/>
      <w:outlineLvl w:val="0"/>
    </w:pPr>
    <w:rPr>
      <w:rFonts w:ascii="Times New Roman" w:hAnsi="Times New Roman"/>
      <w:b/>
      <w:sz w:val="32"/>
    </w:rPr>
  </w:style>
  <w:style w:type="paragraph" w:customStyle="1" w:styleId="AllowPageBreak">
    <w:name w:val="AllowPageBreak"/>
    <w:rsid w:val="005631D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631D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631D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631D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631D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631D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631D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631D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631D9"/>
    <w:rPr>
      <w:rFonts w:ascii="Courier New" w:eastAsia="Times New Roman" w:hAnsi="Courier New" w:cs="Times New Roman"/>
      <w:i/>
      <w:szCs w:val="20"/>
      <w:lang w:eastAsia="en-US"/>
    </w:rPr>
  </w:style>
  <w:style w:type="paragraph" w:customStyle="1" w:styleId="HeadingBase">
    <w:name w:val="Heading Base"/>
    <w:rsid w:val="005631D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631D9"/>
    <w:pPr>
      <w:tabs>
        <w:tab w:val="right" w:leader="dot" w:pos="9072"/>
      </w:tabs>
      <w:ind w:left="567"/>
    </w:pPr>
    <w:rPr>
      <w:szCs w:val="22"/>
    </w:rPr>
  </w:style>
  <w:style w:type="paragraph" w:customStyle="1" w:styleId="TOCBase">
    <w:name w:val="TOC Base"/>
    <w:rsid w:val="005631D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631D9"/>
    <w:pPr>
      <w:tabs>
        <w:tab w:val="right" w:leader="dot" w:pos="9072"/>
      </w:tabs>
      <w:spacing w:before="40" w:after="40"/>
      <w:ind w:left="284"/>
    </w:pPr>
    <w:rPr>
      <w:rFonts w:ascii="Times New Roman" w:hAnsi="Times New Roman"/>
    </w:rPr>
  </w:style>
  <w:style w:type="paragraph" w:styleId="TOC1">
    <w:name w:val="toc 1"/>
    <w:basedOn w:val="TOCBase"/>
    <w:next w:val="Normal"/>
    <w:rsid w:val="005631D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631D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631D9"/>
    <w:rPr>
      <w:rFonts w:ascii="Times New Roman" w:eastAsia="Times New Roman" w:hAnsi="Times New Roman" w:cs="Times New Roman"/>
      <w:sz w:val="16"/>
      <w:lang w:eastAsia="en-US"/>
    </w:rPr>
  </w:style>
  <w:style w:type="paragraph" w:styleId="Title">
    <w:name w:val="Title"/>
    <w:basedOn w:val="HeadingBase"/>
    <w:link w:val="TitleChar"/>
    <w:qFormat/>
    <w:rsid w:val="005631D9"/>
    <w:pPr>
      <w:spacing w:before="5040"/>
      <w:jc w:val="center"/>
    </w:pPr>
    <w:rPr>
      <w:sz w:val="48"/>
      <w:szCs w:val="72"/>
      <w:lang w:val="en-US"/>
    </w:rPr>
  </w:style>
  <w:style w:type="character" w:customStyle="1" w:styleId="TitleChar">
    <w:name w:val="Title Char"/>
    <w:basedOn w:val="DefaultParagraphFont"/>
    <w:link w:val="Title"/>
    <w:rsid w:val="005631D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631D9"/>
    <w:pPr>
      <w:tabs>
        <w:tab w:val="left" w:pos="3600"/>
        <w:tab w:val="left" w:pos="3958"/>
      </w:tabs>
    </w:pPr>
  </w:style>
  <w:style w:type="paragraph" w:styleId="List">
    <w:name w:val="List"/>
    <w:basedOn w:val="BodyText"/>
    <w:next w:val="BodyText"/>
    <w:rsid w:val="005631D9"/>
    <w:pPr>
      <w:tabs>
        <w:tab w:val="left" w:pos="340"/>
      </w:tabs>
      <w:spacing w:before="60" w:after="60"/>
      <w:ind w:left="340" w:hanging="340"/>
    </w:pPr>
  </w:style>
  <w:style w:type="paragraph" w:customStyle="1" w:styleId="Note">
    <w:name w:val="Note"/>
    <w:basedOn w:val="BodyText"/>
    <w:rsid w:val="005631D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631D9"/>
    <w:pPr>
      <w:framePr w:wrap="auto" w:hAnchor="text" w:y="6049"/>
    </w:pPr>
    <w:rPr>
      <w:color w:val="000000"/>
      <w:sz w:val="40"/>
    </w:rPr>
  </w:style>
  <w:style w:type="paragraph" w:customStyle="1" w:styleId="TOCTitle">
    <w:name w:val="TOCTitle"/>
    <w:basedOn w:val="Heading1"/>
    <w:rsid w:val="005631D9"/>
    <w:pPr>
      <w:spacing w:after="240"/>
      <w:jc w:val="center"/>
      <w:outlineLvl w:val="9"/>
    </w:pPr>
    <w:rPr>
      <w:caps/>
    </w:rPr>
  </w:style>
  <w:style w:type="paragraph" w:customStyle="1" w:styleId="Version">
    <w:name w:val="Version"/>
    <w:rsid w:val="005631D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631D9"/>
    <w:pPr>
      <w:numPr>
        <w:numId w:val="12"/>
      </w:numPr>
      <w:tabs>
        <w:tab w:val="clear" w:pos="680"/>
      </w:tabs>
    </w:pPr>
  </w:style>
  <w:style w:type="paragraph" w:styleId="Index1">
    <w:name w:val="index 1"/>
    <w:basedOn w:val="Normal"/>
    <w:next w:val="Normal"/>
    <w:semiHidden/>
    <w:rsid w:val="005631D9"/>
    <w:pPr>
      <w:keepNext w:val="0"/>
      <w:tabs>
        <w:tab w:val="right" w:pos="4176"/>
      </w:tabs>
      <w:ind w:left="198" w:hanging="198"/>
    </w:pPr>
    <w:rPr>
      <w:rFonts w:ascii="Garamond" w:hAnsi="Garamond"/>
    </w:rPr>
  </w:style>
  <w:style w:type="paragraph" w:styleId="IndexHeading">
    <w:name w:val="index heading"/>
    <w:basedOn w:val="Normal"/>
    <w:next w:val="Index1"/>
    <w:semiHidden/>
    <w:rsid w:val="005631D9"/>
    <w:pPr>
      <w:spacing w:before="120" w:after="120"/>
    </w:pPr>
    <w:rPr>
      <w:rFonts w:ascii="Arial" w:hAnsi="Arial"/>
      <w:b/>
      <w:color w:val="918585"/>
      <w:sz w:val="24"/>
    </w:rPr>
  </w:style>
  <w:style w:type="paragraph" w:styleId="Header">
    <w:name w:val="header"/>
    <w:basedOn w:val="Normal"/>
    <w:link w:val="HeaderChar"/>
    <w:rsid w:val="005631D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631D9"/>
    <w:rPr>
      <w:rFonts w:ascii="Times New Roman" w:eastAsia="Times New Roman" w:hAnsi="Times New Roman" w:cs="Times New Roman"/>
      <w:sz w:val="16"/>
      <w:szCs w:val="20"/>
      <w:lang w:val="en-GB" w:eastAsia="en-US"/>
    </w:rPr>
  </w:style>
  <w:style w:type="paragraph" w:customStyle="1" w:styleId="Chapter">
    <w:name w:val="Chapter"/>
    <w:basedOn w:val="Normal"/>
    <w:rsid w:val="005631D9"/>
    <w:pPr>
      <w:spacing w:before="240"/>
    </w:pPr>
    <w:rPr>
      <w:rFonts w:ascii="Times New Roman" w:hAnsi="Times New Roman"/>
      <w:smallCaps/>
      <w:spacing w:val="80"/>
      <w:sz w:val="28"/>
    </w:rPr>
  </w:style>
  <w:style w:type="paragraph" w:customStyle="1" w:styleId="InChapter">
    <w:name w:val="InChapter"/>
    <w:basedOn w:val="Heading3"/>
    <w:rsid w:val="005631D9"/>
    <w:pPr>
      <w:spacing w:after="240"/>
      <w:outlineLvl w:val="9"/>
    </w:pPr>
    <w:rPr>
      <w:noProof/>
    </w:rPr>
  </w:style>
  <w:style w:type="paragraph" w:styleId="Index2">
    <w:name w:val="index 2"/>
    <w:basedOn w:val="Normal"/>
    <w:next w:val="Normal"/>
    <w:semiHidden/>
    <w:rsid w:val="005631D9"/>
    <w:pPr>
      <w:tabs>
        <w:tab w:val="right" w:pos="4176"/>
      </w:tabs>
      <w:ind w:left="568" w:hanging="284"/>
    </w:pPr>
    <w:rPr>
      <w:rFonts w:ascii="Garamond" w:hAnsi="Garamond"/>
    </w:rPr>
  </w:style>
  <w:style w:type="paragraph" w:customStyle="1" w:styleId="Byline">
    <w:name w:val="Byline"/>
    <w:rsid w:val="005631D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631D9"/>
    <w:pPr>
      <w:tabs>
        <w:tab w:val="clear" w:pos="3600"/>
        <w:tab w:val="clear" w:pos="3958"/>
      </w:tabs>
      <w:jc w:val="right"/>
    </w:pPr>
  </w:style>
  <w:style w:type="paragraph" w:styleId="Caption">
    <w:name w:val="caption"/>
    <w:basedOn w:val="BodyText"/>
    <w:next w:val="Normal"/>
    <w:qFormat/>
    <w:rsid w:val="005631D9"/>
    <w:pPr>
      <w:framePr w:w="2268" w:hSpace="181" w:vSpace="181" w:wrap="around" w:vAnchor="text" w:hAnchor="page" w:x="1135" w:y="285" w:anchorLock="1"/>
    </w:pPr>
    <w:rPr>
      <w:i/>
    </w:rPr>
  </w:style>
  <w:style w:type="paragraph" w:customStyle="1" w:styleId="MiniTOCTitle">
    <w:name w:val="MiniTOCTitle"/>
    <w:basedOn w:val="Heading4"/>
    <w:rsid w:val="005631D9"/>
    <w:pPr>
      <w:spacing w:before="240"/>
      <w:outlineLvl w:val="9"/>
    </w:pPr>
    <w:rPr>
      <w:noProof/>
      <w:sz w:val="24"/>
    </w:rPr>
  </w:style>
  <w:style w:type="paragraph" w:customStyle="1" w:styleId="MiniTOCItem">
    <w:name w:val="MiniTOCItem"/>
    <w:basedOn w:val="ListBullet"/>
    <w:rsid w:val="005631D9"/>
    <w:pPr>
      <w:numPr>
        <w:numId w:val="0"/>
      </w:numPr>
      <w:tabs>
        <w:tab w:val="right" w:leader="dot" w:pos="6521"/>
      </w:tabs>
      <w:spacing w:before="0" w:after="0"/>
    </w:pPr>
  </w:style>
  <w:style w:type="paragraph" w:customStyle="1" w:styleId="TOFTitle">
    <w:name w:val="TOFTitle"/>
    <w:basedOn w:val="TOCTitle"/>
    <w:rsid w:val="005631D9"/>
  </w:style>
  <w:style w:type="paragraph" w:styleId="TableofFigures">
    <w:name w:val="table of figures"/>
    <w:basedOn w:val="Normal"/>
    <w:next w:val="Normal"/>
    <w:semiHidden/>
    <w:rsid w:val="005631D9"/>
    <w:pPr>
      <w:tabs>
        <w:tab w:val="right" w:leader="dot" w:pos="9072"/>
      </w:tabs>
      <w:ind w:left="970" w:hanging="403"/>
    </w:pPr>
    <w:rPr>
      <w:rFonts w:ascii="Times New Roman" w:hAnsi="Times New Roman"/>
      <w:b/>
    </w:rPr>
  </w:style>
  <w:style w:type="paragraph" w:styleId="ListNumber">
    <w:name w:val="List Number"/>
    <w:basedOn w:val="List"/>
    <w:rsid w:val="005631D9"/>
    <w:pPr>
      <w:numPr>
        <w:numId w:val="14"/>
      </w:numPr>
      <w:tabs>
        <w:tab w:val="clear" w:pos="340"/>
      </w:tabs>
    </w:pPr>
  </w:style>
  <w:style w:type="character" w:customStyle="1" w:styleId="WingdingSymbols">
    <w:name w:val="Wingding Symbols"/>
    <w:rsid w:val="005631D9"/>
    <w:rPr>
      <w:rFonts w:ascii="Wingdings" w:hAnsi="Wingdings"/>
    </w:rPr>
  </w:style>
  <w:style w:type="paragraph" w:customStyle="1" w:styleId="TableHeading">
    <w:name w:val="Table Heading"/>
    <w:basedOn w:val="HeadingBase"/>
    <w:rsid w:val="005631D9"/>
    <w:pPr>
      <w:keepLines/>
      <w:pBdr>
        <w:bottom w:val="single" w:sz="6" w:space="1" w:color="918585"/>
      </w:pBdr>
      <w:spacing w:before="240"/>
    </w:pPr>
  </w:style>
  <w:style w:type="character" w:customStyle="1" w:styleId="HotSpot">
    <w:name w:val="HotSpot"/>
    <w:rsid w:val="005631D9"/>
    <w:rPr>
      <w:color w:val="0033CC"/>
      <w:u w:val="none"/>
    </w:rPr>
  </w:style>
  <w:style w:type="paragraph" w:customStyle="1" w:styleId="BodyTextRight">
    <w:name w:val="Body Text Right"/>
    <w:basedOn w:val="BodyText"/>
    <w:rsid w:val="005631D9"/>
    <w:pPr>
      <w:spacing w:before="0" w:after="0"/>
      <w:jc w:val="right"/>
    </w:pPr>
  </w:style>
  <w:style w:type="paragraph" w:styleId="Index3">
    <w:name w:val="index 3"/>
    <w:basedOn w:val="ListNumber2"/>
    <w:next w:val="Normal"/>
    <w:semiHidden/>
    <w:rsid w:val="005631D9"/>
    <w:pPr>
      <w:numPr>
        <w:numId w:val="0"/>
      </w:numPr>
      <w:tabs>
        <w:tab w:val="right" w:leader="dot" w:pos="4176"/>
      </w:tabs>
    </w:pPr>
  </w:style>
  <w:style w:type="paragraph" w:styleId="ListNumber2">
    <w:name w:val="List Number 2"/>
    <w:basedOn w:val="List2"/>
    <w:rsid w:val="005631D9"/>
    <w:pPr>
      <w:numPr>
        <w:numId w:val="9"/>
      </w:numPr>
      <w:tabs>
        <w:tab w:val="clear" w:pos="1060"/>
      </w:tabs>
    </w:pPr>
  </w:style>
  <w:style w:type="paragraph" w:customStyle="1" w:styleId="MarginNote">
    <w:name w:val="Margin Note"/>
    <w:basedOn w:val="BodyText"/>
    <w:rsid w:val="005631D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631D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631D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631D9"/>
    <w:rPr>
      <w:sz w:val="32"/>
    </w:rPr>
  </w:style>
  <w:style w:type="paragraph" w:customStyle="1" w:styleId="HeadingProcedure">
    <w:name w:val="Heading Procedure"/>
    <w:basedOn w:val="HeadingBase"/>
    <w:next w:val="Normal"/>
    <w:rsid w:val="005631D9"/>
    <w:pPr>
      <w:tabs>
        <w:tab w:val="left" w:pos="0"/>
      </w:tabs>
      <w:spacing w:before="120" w:after="60"/>
    </w:pPr>
    <w:rPr>
      <w:i/>
      <w:color w:val="918585"/>
      <w:sz w:val="22"/>
    </w:rPr>
  </w:style>
  <w:style w:type="paragraph" w:customStyle="1" w:styleId="TableBodyText">
    <w:name w:val="Table Body Text"/>
    <w:basedOn w:val="BodyText"/>
    <w:rsid w:val="005631D9"/>
    <w:pPr>
      <w:spacing w:before="60" w:after="60"/>
    </w:pPr>
  </w:style>
  <w:style w:type="paragraph" w:styleId="ListContinue">
    <w:name w:val="List Continue"/>
    <w:basedOn w:val="List"/>
    <w:rsid w:val="005631D9"/>
    <w:pPr>
      <w:ind w:firstLine="0"/>
    </w:pPr>
  </w:style>
  <w:style w:type="paragraph" w:customStyle="1" w:styleId="ListNote">
    <w:name w:val="List Note"/>
    <w:basedOn w:val="List"/>
    <w:rsid w:val="005631D9"/>
    <w:pPr>
      <w:pBdr>
        <w:top w:val="single" w:sz="6" w:space="2" w:color="918585"/>
        <w:bottom w:val="single" w:sz="6" w:space="2" w:color="918585"/>
      </w:pBdr>
      <w:tabs>
        <w:tab w:val="left" w:pos="1021"/>
      </w:tabs>
      <w:ind w:firstLine="0"/>
    </w:pPr>
  </w:style>
  <w:style w:type="paragraph" w:customStyle="1" w:styleId="Warning">
    <w:name w:val="Warning"/>
    <w:basedOn w:val="BodyText"/>
    <w:rsid w:val="005631D9"/>
    <w:pPr>
      <w:shd w:val="clear" w:color="auto" w:fill="D9D9D9"/>
      <w:tabs>
        <w:tab w:val="left" w:pos="992"/>
      </w:tabs>
      <w:ind w:left="119" w:right="119"/>
    </w:pPr>
    <w:rPr>
      <w:sz w:val="20"/>
    </w:rPr>
  </w:style>
  <w:style w:type="paragraph" w:customStyle="1" w:styleId="MarginIcons">
    <w:name w:val="Margin Icons"/>
    <w:basedOn w:val="BodyText"/>
    <w:rsid w:val="005631D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631D9"/>
    <w:rPr>
      <w:rFonts w:ascii="Courier New" w:hAnsi="Courier New"/>
    </w:rPr>
  </w:style>
  <w:style w:type="paragraph" w:customStyle="1" w:styleId="NoteBullet">
    <w:name w:val="Note Bullet"/>
    <w:basedOn w:val="Note"/>
    <w:rsid w:val="005631D9"/>
    <w:pPr>
      <w:tabs>
        <w:tab w:val="clear" w:pos="680"/>
      </w:tabs>
      <w:spacing w:before="60" w:after="60"/>
    </w:pPr>
  </w:style>
  <w:style w:type="paragraph" w:customStyle="1" w:styleId="SubHeading2">
    <w:name w:val="SubHeading2"/>
    <w:basedOn w:val="HeadingBase"/>
    <w:rsid w:val="005631D9"/>
    <w:pPr>
      <w:spacing w:before="240" w:after="60"/>
    </w:pPr>
    <w:rPr>
      <w:sz w:val="20"/>
    </w:rPr>
  </w:style>
  <w:style w:type="paragraph" w:customStyle="1" w:styleId="SubHeading1">
    <w:name w:val="SubHeading1"/>
    <w:basedOn w:val="HeadingBase"/>
    <w:rsid w:val="005631D9"/>
    <w:pPr>
      <w:spacing w:before="240" w:after="60"/>
    </w:pPr>
    <w:rPr>
      <w:color w:val="918585"/>
      <w:sz w:val="22"/>
    </w:rPr>
  </w:style>
  <w:style w:type="paragraph" w:customStyle="1" w:styleId="SideHeading">
    <w:name w:val="Side Heading"/>
    <w:basedOn w:val="HeadingBase"/>
    <w:rsid w:val="005631D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631D9"/>
    <w:pPr>
      <w:numPr>
        <w:numId w:val="10"/>
      </w:numPr>
    </w:pPr>
  </w:style>
  <w:style w:type="paragraph" w:styleId="PlainText">
    <w:name w:val="Plain Text"/>
    <w:basedOn w:val="Normal"/>
    <w:link w:val="PlainTextChar"/>
    <w:rsid w:val="005631D9"/>
    <w:rPr>
      <w:sz w:val="20"/>
    </w:rPr>
  </w:style>
  <w:style w:type="character" w:customStyle="1" w:styleId="PlainTextChar">
    <w:name w:val="Plain Text Char"/>
    <w:basedOn w:val="DefaultParagraphFont"/>
    <w:link w:val="PlainText"/>
    <w:rsid w:val="005631D9"/>
    <w:rPr>
      <w:rFonts w:ascii="Courier New" w:eastAsia="Times New Roman" w:hAnsi="Courier New" w:cs="Times New Roman"/>
      <w:sz w:val="20"/>
      <w:szCs w:val="20"/>
      <w:lang w:eastAsia="en-US"/>
    </w:rPr>
  </w:style>
  <w:style w:type="character" w:customStyle="1" w:styleId="MenuOption">
    <w:name w:val="Menu Option"/>
    <w:basedOn w:val="DefaultParagraphFont"/>
    <w:rsid w:val="005631D9"/>
    <w:rPr>
      <w:b/>
      <w:smallCaps/>
    </w:rPr>
  </w:style>
  <w:style w:type="paragraph" w:customStyle="1" w:styleId="TableListNumber">
    <w:name w:val="Table List Number"/>
    <w:basedOn w:val="ListNumber"/>
    <w:rsid w:val="005631D9"/>
    <w:pPr>
      <w:numPr>
        <w:numId w:val="0"/>
      </w:numPr>
    </w:pPr>
  </w:style>
  <w:style w:type="paragraph" w:styleId="TOC4">
    <w:name w:val="toc 4"/>
    <w:basedOn w:val="TOCBase"/>
    <w:next w:val="Normal"/>
    <w:semiHidden/>
    <w:rsid w:val="005631D9"/>
    <w:pPr>
      <w:tabs>
        <w:tab w:val="right" w:leader="dot" w:pos="9071"/>
      </w:tabs>
      <w:ind w:left="1701"/>
    </w:pPr>
  </w:style>
  <w:style w:type="paragraph" w:customStyle="1" w:styleId="ListAlpha">
    <w:name w:val="List Alpha"/>
    <w:basedOn w:val="List"/>
    <w:rsid w:val="005631D9"/>
    <w:pPr>
      <w:numPr>
        <w:numId w:val="8"/>
      </w:numPr>
    </w:pPr>
  </w:style>
  <w:style w:type="paragraph" w:customStyle="1" w:styleId="ListAlpha2">
    <w:name w:val="List Alpha 2"/>
    <w:basedOn w:val="List2"/>
    <w:rsid w:val="005631D9"/>
    <w:pPr>
      <w:numPr>
        <w:numId w:val="7"/>
      </w:numPr>
    </w:pPr>
  </w:style>
  <w:style w:type="paragraph" w:styleId="List2">
    <w:name w:val="List 2"/>
    <w:basedOn w:val="BodyText"/>
    <w:rsid w:val="005631D9"/>
    <w:pPr>
      <w:tabs>
        <w:tab w:val="left" w:pos="680"/>
      </w:tabs>
      <w:spacing w:before="60" w:after="60"/>
      <w:ind w:left="680" w:hanging="340"/>
    </w:pPr>
  </w:style>
  <w:style w:type="paragraph" w:styleId="List3">
    <w:name w:val="List 3"/>
    <w:basedOn w:val="BodyText"/>
    <w:rsid w:val="005631D9"/>
    <w:pPr>
      <w:tabs>
        <w:tab w:val="left" w:pos="1021"/>
      </w:tabs>
      <w:spacing w:before="60" w:after="60"/>
      <w:ind w:left="1020" w:hanging="340"/>
    </w:pPr>
  </w:style>
  <w:style w:type="paragraph" w:styleId="List4">
    <w:name w:val="List 4"/>
    <w:basedOn w:val="BodyText"/>
    <w:rsid w:val="005631D9"/>
    <w:pPr>
      <w:tabs>
        <w:tab w:val="left" w:pos="1361"/>
      </w:tabs>
      <w:spacing w:before="60" w:after="60"/>
      <w:ind w:left="1361" w:hanging="340"/>
    </w:pPr>
  </w:style>
  <w:style w:type="paragraph" w:styleId="List5">
    <w:name w:val="List 5"/>
    <w:basedOn w:val="BodyText"/>
    <w:rsid w:val="005631D9"/>
    <w:pPr>
      <w:tabs>
        <w:tab w:val="left" w:pos="1701"/>
      </w:tabs>
      <w:spacing w:before="60" w:after="60"/>
      <w:ind w:left="1701" w:hanging="340"/>
    </w:pPr>
  </w:style>
  <w:style w:type="paragraph" w:styleId="ListBullet3">
    <w:name w:val="List Bullet 3"/>
    <w:basedOn w:val="List3"/>
    <w:rsid w:val="005631D9"/>
    <w:pPr>
      <w:numPr>
        <w:numId w:val="13"/>
      </w:numPr>
      <w:tabs>
        <w:tab w:val="clear" w:pos="1021"/>
      </w:tabs>
      <w:ind w:left="1037" w:hanging="357"/>
    </w:pPr>
  </w:style>
  <w:style w:type="paragraph" w:styleId="ListBullet4">
    <w:name w:val="List Bullet 4"/>
    <w:basedOn w:val="List4"/>
    <w:rsid w:val="005631D9"/>
    <w:pPr>
      <w:numPr>
        <w:numId w:val="2"/>
      </w:numPr>
      <w:tabs>
        <w:tab w:val="clear" w:pos="1361"/>
      </w:tabs>
    </w:pPr>
  </w:style>
  <w:style w:type="paragraph" w:styleId="ListBullet5">
    <w:name w:val="List Bullet 5"/>
    <w:basedOn w:val="List5"/>
    <w:rsid w:val="005631D9"/>
    <w:pPr>
      <w:numPr>
        <w:numId w:val="3"/>
      </w:numPr>
    </w:pPr>
  </w:style>
  <w:style w:type="paragraph" w:styleId="ListContinue2">
    <w:name w:val="List Continue 2"/>
    <w:basedOn w:val="List2"/>
    <w:rsid w:val="005631D9"/>
    <w:pPr>
      <w:ind w:firstLine="0"/>
    </w:pPr>
  </w:style>
  <w:style w:type="paragraph" w:styleId="ListContinue3">
    <w:name w:val="List Continue 3"/>
    <w:basedOn w:val="List3"/>
    <w:rsid w:val="005631D9"/>
    <w:pPr>
      <w:ind w:left="1021" w:firstLine="0"/>
    </w:pPr>
  </w:style>
  <w:style w:type="paragraph" w:styleId="ListContinue4">
    <w:name w:val="List Continue 4"/>
    <w:basedOn w:val="List4"/>
    <w:rsid w:val="005631D9"/>
    <w:pPr>
      <w:ind w:firstLine="0"/>
    </w:pPr>
  </w:style>
  <w:style w:type="paragraph" w:styleId="ListContinue5">
    <w:name w:val="List Continue 5"/>
    <w:basedOn w:val="List5"/>
    <w:rsid w:val="005631D9"/>
    <w:pPr>
      <w:ind w:firstLine="0"/>
    </w:pPr>
  </w:style>
  <w:style w:type="paragraph" w:styleId="ListNumber3">
    <w:name w:val="List Number 3"/>
    <w:basedOn w:val="List3"/>
    <w:rsid w:val="005631D9"/>
    <w:pPr>
      <w:numPr>
        <w:numId w:val="4"/>
      </w:numPr>
    </w:pPr>
  </w:style>
  <w:style w:type="paragraph" w:styleId="ListNumber4">
    <w:name w:val="List Number 4"/>
    <w:basedOn w:val="List4"/>
    <w:rsid w:val="005631D9"/>
    <w:pPr>
      <w:numPr>
        <w:numId w:val="5"/>
      </w:numPr>
    </w:pPr>
  </w:style>
  <w:style w:type="paragraph" w:styleId="ListNumber5">
    <w:name w:val="List Number 5"/>
    <w:basedOn w:val="List5"/>
    <w:rsid w:val="005631D9"/>
    <w:pPr>
      <w:numPr>
        <w:numId w:val="6"/>
      </w:numPr>
    </w:pPr>
  </w:style>
  <w:style w:type="paragraph" w:styleId="BlockText">
    <w:name w:val="Block Text"/>
    <w:basedOn w:val="Normal"/>
    <w:rsid w:val="005631D9"/>
    <w:pPr>
      <w:spacing w:after="120"/>
      <w:ind w:left="1440" w:right="1440"/>
    </w:pPr>
  </w:style>
  <w:style w:type="character" w:customStyle="1" w:styleId="Subscript">
    <w:name w:val="Subscript"/>
    <w:basedOn w:val="DefaultParagraphFont"/>
    <w:rsid w:val="005631D9"/>
    <w:rPr>
      <w:sz w:val="16"/>
      <w:vertAlign w:val="subscript"/>
    </w:rPr>
  </w:style>
  <w:style w:type="character" w:customStyle="1" w:styleId="Superscript">
    <w:name w:val="Superscript"/>
    <w:basedOn w:val="DefaultParagraphFont"/>
    <w:rsid w:val="005631D9"/>
    <w:rPr>
      <w:sz w:val="16"/>
      <w:vertAlign w:val="superscript"/>
    </w:rPr>
  </w:style>
  <w:style w:type="character" w:customStyle="1" w:styleId="Symbols">
    <w:name w:val="Symbols"/>
    <w:basedOn w:val="DefaultParagraphFont"/>
    <w:rsid w:val="005631D9"/>
    <w:rPr>
      <w:rFonts w:ascii="Symbol" w:hAnsi="Symbol"/>
    </w:rPr>
  </w:style>
  <w:style w:type="character" w:customStyle="1" w:styleId="MenuOptions">
    <w:name w:val="Menu Options"/>
    <w:basedOn w:val="DefaultParagraphFont"/>
    <w:rsid w:val="005631D9"/>
    <w:rPr>
      <w:rFonts w:ascii="Arial Narrow" w:hAnsi="Arial Narrow"/>
      <w:smallCaps/>
    </w:rPr>
  </w:style>
  <w:style w:type="character" w:customStyle="1" w:styleId="Buttons">
    <w:name w:val="Buttons"/>
    <w:basedOn w:val="DefaultParagraphFont"/>
    <w:rsid w:val="005631D9"/>
    <w:rPr>
      <w:b/>
    </w:rPr>
  </w:style>
  <w:style w:type="character" w:customStyle="1" w:styleId="Underlined">
    <w:name w:val="Underlined"/>
    <w:basedOn w:val="DefaultParagraphFont"/>
    <w:rsid w:val="005631D9"/>
    <w:rPr>
      <w:u w:val="single"/>
    </w:rPr>
  </w:style>
  <w:style w:type="paragraph" w:customStyle="1" w:styleId="TableBodyTextRight">
    <w:name w:val="Table Body Text Right"/>
    <w:basedOn w:val="TableBodyText"/>
    <w:rsid w:val="005631D9"/>
    <w:pPr>
      <w:widowControl w:val="0"/>
      <w:autoSpaceDE w:val="0"/>
      <w:autoSpaceDN w:val="0"/>
      <w:adjustRightInd w:val="0"/>
      <w:jc w:val="right"/>
    </w:pPr>
    <w:rPr>
      <w:rFonts w:cs="Arial"/>
      <w:szCs w:val="18"/>
    </w:rPr>
  </w:style>
  <w:style w:type="paragraph" w:customStyle="1" w:styleId="CopyrightText">
    <w:name w:val="Copyright Text"/>
    <w:basedOn w:val="BodyText"/>
    <w:rsid w:val="005631D9"/>
    <w:rPr>
      <w:sz w:val="18"/>
    </w:rPr>
  </w:style>
  <w:style w:type="paragraph" w:customStyle="1" w:styleId="BodySmallRight">
    <w:name w:val="Body Small Right"/>
    <w:basedOn w:val="BodyTextRight"/>
    <w:rsid w:val="005631D9"/>
    <w:rPr>
      <w:sz w:val="18"/>
      <w:szCs w:val="18"/>
    </w:rPr>
  </w:style>
  <w:style w:type="paragraph" w:customStyle="1" w:styleId="MarginEdition">
    <w:name w:val="Margin Edition"/>
    <w:basedOn w:val="MarginNote"/>
    <w:rsid w:val="005631D9"/>
    <w:pPr>
      <w:spacing w:before="0" w:after="0"/>
    </w:pPr>
    <w:rPr>
      <w:rFonts w:ascii="Times New Roman" w:hAnsi="Times New Roman"/>
      <w:color w:val="999999"/>
    </w:rPr>
  </w:style>
  <w:style w:type="paragraph" w:customStyle="1" w:styleId="Spacer">
    <w:name w:val="Spacer"/>
    <w:basedOn w:val="Normal"/>
    <w:rsid w:val="005631D9"/>
    <w:rPr>
      <w:sz w:val="2"/>
      <w:szCs w:val="2"/>
    </w:rPr>
  </w:style>
  <w:style w:type="character" w:customStyle="1" w:styleId="Small">
    <w:name w:val="Small"/>
    <w:basedOn w:val="DefaultParagraphFont"/>
    <w:rsid w:val="005631D9"/>
    <w:rPr>
      <w:sz w:val="16"/>
    </w:rPr>
  </w:style>
  <w:style w:type="paragraph" w:customStyle="1" w:styleId="WideTable">
    <w:name w:val="Wide Table"/>
    <w:basedOn w:val="Normal"/>
    <w:rsid w:val="005631D9"/>
    <w:pPr>
      <w:ind w:left="-1418"/>
    </w:pPr>
    <w:rPr>
      <w:sz w:val="2"/>
      <w:szCs w:val="2"/>
    </w:rPr>
  </w:style>
  <w:style w:type="character" w:styleId="PageNumber">
    <w:name w:val="page number"/>
    <w:basedOn w:val="DefaultParagraphFont"/>
    <w:rsid w:val="005631D9"/>
  </w:style>
  <w:style w:type="paragraph" w:styleId="Quote">
    <w:name w:val="Quote"/>
    <w:basedOn w:val="Heading1"/>
    <w:link w:val="QuoteChar"/>
    <w:qFormat/>
    <w:rsid w:val="005631D9"/>
    <w:rPr>
      <w:b w:val="0"/>
      <w:sz w:val="72"/>
      <w:szCs w:val="72"/>
      <w:lang w:val="en-NZ"/>
    </w:rPr>
  </w:style>
  <w:style w:type="character" w:customStyle="1" w:styleId="QuoteChar">
    <w:name w:val="Quote Char"/>
    <w:basedOn w:val="DefaultParagraphFont"/>
    <w:link w:val="Quote"/>
    <w:rsid w:val="005631D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631D9"/>
    <w:pPr>
      <w:pageBreakBefore/>
    </w:pPr>
  </w:style>
  <w:style w:type="paragraph" w:customStyle="1" w:styleId="Border">
    <w:name w:val="Border"/>
    <w:basedOn w:val="Normal"/>
    <w:qFormat/>
    <w:rsid w:val="005631D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631D9"/>
    <w:rPr>
      <w:b/>
      <w:bCs/>
      <w:i/>
      <w:iCs/>
      <w:color w:val="auto"/>
    </w:rPr>
  </w:style>
  <w:style w:type="paragraph" w:styleId="IntenseQuote">
    <w:name w:val="Intense Quote"/>
    <w:basedOn w:val="Normal"/>
    <w:next w:val="Normal"/>
    <w:link w:val="IntenseQuoteChar"/>
    <w:uiPriority w:val="30"/>
    <w:qFormat/>
    <w:rsid w:val="005631D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631D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631D9"/>
    <w:rPr>
      <w:smallCaps/>
      <w:color w:val="auto"/>
      <w:u w:val="single"/>
    </w:rPr>
  </w:style>
  <w:style w:type="character" w:styleId="IntenseReference">
    <w:name w:val="Intense Reference"/>
    <w:basedOn w:val="DefaultParagraphFont"/>
    <w:uiPriority w:val="32"/>
    <w:qFormat/>
    <w:rsid w:val="005631D9"/>
    <w:rPr>
      <w:b/>
      <w:bCs/>
      <w:smallCaps/>
      <w:color w:val="auto"/>
      <w:spacing w:val="5"/>
      <w:u w:val="single"/>
    </w:rPr>
  </w:style>
  <w:style w:type="paragraph" w:customStyle="1" w:styleId="2ColumnHeading">
    <w:name w:val="2Column Heading"/>
    <w:basedOn w:val="BodyText"/>
    <w:qFormat/>
    <w:rsid w:val="005631D9"/>
    <w:pPr>
      <w:spacing w:after="60"/>
      <w:ind w:left="-2268"/>
    </w:pPr>
    <w:rPr>
      <w:b/>
    </w:rPr>
  </w:style>
  <w:style w:type="paragraph" w:customStyle="1" w:styleId="Heading1TOC">
    <w:name w:val="Heading1 TOC"/>
    <w:basedOn w:val="Normal"/>
    <w:qFormat/>
    <w:rsid w:val="005631D9"/>
    <w:pPr>
      <w:spacing w:before="240" w:after="120"/>
    </w:pPr>
    <w:rPr>
      <w:rFonts w:ascii="Times New Roman" w:hAnsi="Times New Roman"/>
      <w:b/>
      <w:sz w:val="32"/>
    </w:rPr>
  </w:style>
  <w:style w:type="paragraph" w:customStyle="1" w:styleId="Heading2TOC">
    <w:name w:val="Heading2 TOC"/>
    <w:basedOn w:val="Normal"/>
    <w:qFormat/>
    <w:rsid w:val="005631D9"/>
    <w:pPr>
      <w:spacing w:before="240" w:after="60"/>
    </w:pPr>
    <w:rPr>
      <w:rFonts w:ascii="Times New Roman" w:hAnsi="Times New Roman"/>
      <w:b/>
      <w:sz w:val="28"/>
    </w:rPr>
  </w:style>
  <w:style w:type="character" w:customStyle="1" w:styleId="Underline">
    <w:name w:val="Underline"/>
    <w:basedOn w:val="DefaultParagraphFont"/>
    <w:qFormat/>
    <w:rsid w:val="005631D9"/>
    <w:rPr>
      <w:u w:val="single"/>
    </w:rPr>
  </w:style>
  <w:style w:type="character" w:customStyle="1" w:styleId="BoldandItalics">
    <w:name w:val="Bold and Italics"/>
    <w:qFormat/>
    <w:rsid w:val="005631D9"/>
    <w:rPr>
      <w:b/>
      <w:i/>
      <w:u w:val="none"/>
    </w:rPr>
  </w:style>
  <w:style w:type="paragraph" w:styleId="BalloonText">
    <w:name w:val="Balloon Text"/>
    <w:basedOn w:val="Normal"/>
    <w:link w:val="BalloonTextChar"/>
    <w:rsid w:val="005631D9"/>
    <w:rPr>
      <w:rFonts w:ascii="Tahoma" w:hAnsi="Tahoma" w:cs="Tahoma"/>
      <w:sz w:val="16"/>
      <w:szCs w:val="16"/>
    </w:rPr>
  </w:style>
  <w:style w:type="character" w:customStyle="1" w:styleId="BalloonTextChar">
    <w:name w:val="Balloon Text Char"/>
    <w:basedOn w:val="DefaultParagraphFont"/>
    <w:link w:val="BalloonText"/>
    <w:rsid w:val="005631D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631D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631D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631D9"/>
    <w:rPr>
      <w:b/>
      <w:color w:val="660033"/>
      <w:spacing w:val="0"/>
    </w:rPr>
  </w:style>
  <w:style w:type="paragraph" w:customStyle="1" w:styleId="Nameditemlist">
    <w:name w:val="Named item list"/>
    <w:basedOn w:val="BodyText"/>
    <w:qFormat/>
    <w:rsid w:val="005631D9"/>
    <w:pPr>
      <w:tabs>
        <w:tab w:val="left" w:pos="2835"/>
      </w:tabs>
      <w:ind w:left="2835" w:hanging="2835"/>
    </w:pPr>
  </w:style>
  <w:style w:type="paragraph" w:customStyle="1" w:styleId="BodyTextnopadding">
    <w:name w:val="Body Text no padding"/>
    <w:basedOn w:val="BodyText"/>
    <w:qFormat/>
    <w:rsid w:val="005631D9"/>
    <w:pPr>
      <w:spacing w:before="0" w:after="0"/>
    </w:pPr>
  </w:style>
  <w:style w:type="paragraph" w:customStyle="1" w:styleId="BodyTextBold">
    <w:name w:val="Body Text Bold"/>
    <w:basedOn w:val="BodyText"/>
    <w:qFormat/>
    <w:rsid w:val="005631D9"/>
    <w:rPr>
      <w:b/>
    </w:rPr>
  </w:style>
  <w:style w:type="character" w:styleId="Hyperlink">
    <w:name w:val="Hyperlink"/>
    <w:basedOn w:val="DefaultParagraphFont"/>
    <w:uiPriority w:val="99"/>
    <w:unhideWhenUsed/>
    <w:rsid w:val="000D2C7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1112</Words>
  <Characters>7028</Characters>
  <Application>Microsoft Office Word</Application>
  <DocSecurity>0</DocSecurity>
  <Lines>226</Lines>
  <Paragraphs>140</Paragraphs>
  <ScaleCrop>false</ScaleCrop>
  <Company>Author-it Software Corporation Ltd.</Company>
  <LinksUpToDate>false</LinksUpToDate>
  <CharactersWithSpaces>8000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TLIX5044 Organise health support operations</dc:title>
  <dc:subject>Approved</dc:subject>
  <dc:creator>Industry Skills Australia</dc:creator>
  <cp:keywords>Release: 1</cp:keywords>
  <dc:description>Review Date: 12 April 2008</dc:description>
  <cp:lastModifiedBy>HSD_TPCMSd.prod</cp:lastModifiedBy>
  <cp:revision>3</cp:revision>
  <dcterms:created xsi:type="dcterms:W3CDTF">2025-03-01T20:46:00Z</dcterms:created>
  <dcterms:modified xsi:type="dcterms:W3CDTF">2025-03-01T20:46:00Z</dcterms:modified>
</cp:coreProperties>
</file>