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B90" w:rsidP="00B90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TLIX5036 Manage and monitor technical data and information systems</w:t>
      </w:r>
      <w:r>
        <w:fldChar w:fldCharType="end"/>
      </w:r>
    </w:p>
    <w:p w:rsidR="00B90B90" w:rsidP="00B90B90">
      <w:pPr>
        <w:pStyle w:val="Version"/>
        <w:sectPr w:rsidSect="003A5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87C" w:rsidP="003A587C">
      <w:pPr>
        <w:pStyle w:val="SuperHeading"/>
      </w:pPr>
      <w:r w:rsidRPr="003A587C">
        <w:t>TLIX5036 Manage and monitor technical data and information systems</w:t>
      </w:r>
    </w:p>
    <w:p w:rsidR="00000000" w:rsidRPr="003A587C" w:rsidP="003A587C">
      <w:pPr>
        <w:pStyle w:val="Heading1"/>
      </w:pPr>
      <w:bookmarkStart w:id="1" w:name="O_742038"/>
      <w:bookmarkEnd w:id="1"/>
      <w:r w:rsidRPr="003A587C">
        <w:t>Modification History</w:t>
      </w:r>
    </w:p>
    <w:p w:rsidR="00B90B90" w:rsidP="00B90B90">
      <w:pPr>
        <w:pStyle w:val="BodyText"/>
      </w:pPr>
      <w:r w:rsidRPr="003A587C">
        <w:t>Release 1. This is the first release of this unit of competency in the TLI Transport and Logistics Training Package.</w:t>
      </w:r>
    </w:p>
    <w:p w:rsidR="00000000" w:rsidRPr="003A587C" w:rsidP="003A587C">
      <w:pPr>
        <w:pStyle w:val="Heading1"/>
      </w:pPr>
      <w:bookmarkStart w:id="2" w:name="O_742039"/>
      <w:bookmarkEnd w:id="2"/>
      <w:r w:rsidRPr="003A587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t>This unit involves the skills and knowledge required to manage and monitor technical data and information systems in accordance with relevant organisational policy and procedures.</w:t>
            </w:r>
          </w:p>
          <w:p w:rsidR="00000000" w:rsidRPr="003A587C" w:rsidP="003A587C">
            <w:pPr>
              <w:pStyle w:val="BodyText"/>
            </w:pPr>
            <w:r w:rsidRPr="003A587C">
              <w:t>It includes designating detailed technical data, information use and mainten</w:t>
            </w:r>
            <w:r w:rsidRPr="003A587C">
              <w:t xml:space="preserve">ance responsibilities; developing key performance indicators for technical data management activities; and developing monitoring methodology. </w:t>
            </w:r>
          </w:p>
          <w:p w:rsidR="00000000" w:rsidRPr="003A587C" w:rsidP="003A587C">
            <w:pPr>
              <w:pStyle w:val="BodyText"/>
            </w:pPr>
            <w:r w:rsidRPr="003A587C">
              <w:t>It also includes monitoring technical data management systems; identifying and responding to problems and changes</w:t>
            </w:r>
            <w:r w:rsidRPr="003A587C">
              <w:t>; and designating technical data and information creation and capturing responsibilities.</w:t>
            </w:r>
          </w:p>
          <w:p w:rsidR="00000000" w:rsidRPr="003A587C" w:rsidP="003A587C">
            <w:pPr>
              <w:pStyle w:val="BodyText"/>
            </w:pPr>
            <w:r w:rsidRPr="003A587C">
              <w:t xml:space="preserve">This competency occurs within an established systems framework. It may also be used to review systems processes and activities. </w:t>
            </w:r>
          </w:p>
          <w:p w:rsidR="00000000" w:rsidRPr="003A587C" w:rsidP="003A587C">
            <w:pPr>
              <w:pStyle w:val="BodyText"/>
            </w:pPr>
            <w:r w:rsidRPr="003A587C">
              <w:t>This unit applies to technical regula</w:t>
            </w:r>
            <w:r w:rsidRPr="003A587C">
              <w:t>tory framework specialists working within materiel logistics but is applicable to any individual in this field of work.</w:t>
            </w:r>
          </w:p>
          <w:p w:rsidR="00000000" w:rsidRPr="003A587C" w:rsidP="003A587C">
            <w:pPr>
              <w:pStyle w:val="BodyText"/>
            </w:pPr>
            <w:r w:rsidRPr="003A587C">
              <w:t>Typically these individuals must demonstrate the ability to work independently or as part of a team under direct and/or indirect supervi</w:t>
            </w:r>
            <w:r w:rsidRPr="003A587C">
              <w:t xml:space="preserve">sion, use discretion and judgement, and take responsibility for the quality of their output. </w:t>
            </w:r>
          </w:p>
          <w:p w:rsidR="00000000" w:rsidRPr="003A587C" w:rsidP="003A587C">
            <w:pPr>
              <w:pStyle w:val="BodyText"/>
            </w:pPr>
            <w:r w:rsidRPr="003A587C">
              <w:t>No licensing, legislative or certification requirements apply to this unit at the time of publication.</w:t>
            </w:r>
          </w:p>
        </w:tc>
      </w:tr>
    </w:tbl>
    <w:p w:rsidR="00B90B90" w:rsidP="003A587C">
      <w:pPr>
        <w:pStyle w:val="BodyText"/>
      </w:pPr>
    </w:p>
    <w:p w:rsidR="00B90B90" w:rsidP="003A587C">
      <w:pPr>
        <w:pStyle w:val="BodyText"/>
      </w:pPr>
    </w:p>
    <w:p w:rsidR="00000000" w:rsidRPr="003A587C" w:rsidP="003A587C">
      <w:pPr>
        <w:pStyle w:val="Heading1"/>
      </w:pPr>
      <w:bookmarkStart w:id="3" w:name="O_742040"/>
      <w:bookmarkEnd w:id="3"/>
      <w:r w:rsidRPr="003A587C">
        <w:t>Pre-requisite Unit</w:t>
      </w:r>
    </w:p>
    <w:p w:rsidR="00000000" w:rsidRPr="003A587C" w:rsidP="00B90B90">
      <w:pPr>
        <w:pStyle w:val="BodyText"/>
      </w:pPr>
      <w:r w:rsidRPr="003A587C">
        <w:t>Not applicable.</w:t>
      </w:r>
    </w:p>
    <w:p w:rsidR="00000000" w:rsidRPr="003A587C" w:rsidP="003A587C">
      <w:pPr>
        <w:pStyle w:val="Heading1"/>
      </w:pPr>
      <w:bookmarkStart w:id="4" w:name="O_742041"/>
      <w:bookmarkEnd w:id="4"/>
      <w:r w:rsidRPr="003A587C">
        <w:t>Competency Field</w:t>
      </w:r>
    </w:p>
    <w:p w:rsidR="00000000" w:rsidRPr="003A587C" w:rsidP="00B90B90">
      <w:pPr>
        <w:pStyle w:val="BodyText"/>
      </w:pPr>
      <w:r w:rsidRPr="003A587C">
        <w:t>X ‒ Logistics</w:t>
      </w:r>
    </w:p>
    <w:p w:rsidR="00000000" w:rsidRPr="003A587C" w:rsidP="003A587C">
      <w:pPr>
        <w:pStyle w:val="Heading1"/>
      </w:pPr>
      <w:bookmarkStart w:id="5" w:name="O_742042"/>
      <w:bookmarkEnd w:id="5"/>
      <w:r w:rsidRPr="003A587C">
        <w:t>Unit Sector</w:t>
      </w:r>
    </w:p>
    <w:p w:rsidR="00000000" w:rsidRPr="003A587C" w:rsidP="00B90B90">
      <w:pPr>
        <w:pStyle w:val="BodyText"/>
      </w:pPr>
      <w:r w:rsidRPr="003A587C">
        <w:t>Not applicable.</w:t>
      </w:r>
    </w:p>
    <w:p w:rsidR="00000000" w:rsidRPr="003A587C" w:rsidP="003A587C">
      <w:pPr>
        <w:pStyle w:val="Heading1"/>
      </w:pPr>
      <w:bookmarkStart w:id="6" w:name="O_742043"/>
      <w:bookmarkEnd w:id="6"/>
      <w:r w:rsidRPr="003A58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"/>
        <w:gridCol w:w="1669"/>
        <w:gridCol w:w="1"/>
        <w:gridCol w:w="520"/>
        <w:gridCol w:w="6693"/>
      </w:tblGrid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rPr>
                <w:rStyle w:val="SpecialBold"/>
              </w:rPr>
              <w:t>PERFORMANCE CRITERIA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Performance criteria describe the performance needed to demonstrate achievement of the element.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rPr>
                <w:rStyle w:val="SpecialBold"/>
              </w:rPr>
              <w:t>Designate detailed technical data and information use, and maintenance responsibilities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Responsibilities for technical data and information use and main</w:t>
            </w:r>
            <w:r w:rsidRPr="003A587C">
              <w:t>tenance activities are designated to staff in accordance with approved systems framework, organisational policy and the competency of individual staff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System operational rules are devised in compliance with approved systems framework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Resources for approved budget period are allocated in accordance with policy and strategic plan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rPr>
                <w:rStyle w:val="SpecialBold"/>
              </w:rPr>
              <w:t>Develop key performance indicators for technical data management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Measurable performance indicators are developed for technical data management</w:t>
            </w:r>
            <w:r w:rsidRPr="003A587C">
              <w:t xml:space="preserve"> activities in accordance with authorised systems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Individual personnel/organisational unit data management responsibilities are identified and documented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Acceptable range of variation for compliance is determined based on data management responsibilities, applicable data management systems and organisational risk management analysis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rPr>
                <w:rStyle w:val="SpecialBold"/>
              </w:rPr>
              <w:t>Develop monitoring methodology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 xml:space="preserve">Methodology for monitoring technical </w:t>
            </w:r>
            <w:r w:rsidRPr="003A587C">
              <w:t>data management systems rules, standards and procedures is developed based on authorised systems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 xml:space="preserve">Timeframes involved, means of surveillance and forms of reporting are included in methodology developed 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Methodology, performance criteria and range of variation from standards and rules are submitted to appropriate authority for approval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rPr>
                <w:rStyle w:val="SpecialBold"/>
              </w:rPr>
              <w:t>Monitor a technical data management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Monitoring is undertaken in accordance with approved timeframes and freq</w:t>
            </w:r>
            <w:r w:rsidRPr="003A587C">
              <w:t>uency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Staff being monitored are notified in accordance with organisational policy and guidelines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Variation from data management systems framework, rule, standards and</w:t>
            </w:r>
            <w:r w:rsidRPr="003A587C">
              <w:t xml:space="preserve"> procedures that exceed the agreed limit is noted and details of the situation are recorded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Reports relating to technical data and information use and maintenance are provided to appropriate authority in the required format and at the required inter</w:t>
            </w:r>
            <w:r w:rsidRPr="003A587C">
              <w:t>vals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rPr>
                <w:rStyle w:val="SpecialBold"/>
              </w:rPr>
              <w:t>Identify and respond to problems and changes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Problems and changes requiring a systematic response are identified from monitoring reports and external events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Recommendations are made for revisions to systems, procedures, and strategic plans in response to identified variations, changes and problems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Amendments to systems are devised and implementation is planned, in response to problems and changes that r</w:t>
            </w:r>
            <w:r w:rsidRPr="003A587C">
              <w:t>equire a systemic response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Recommendations for systems amendments and the planning and implementation required are prepared, and approval is sought from appropriate authority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Procedures for using technical data and information systems, and subsequent alterations and amendments to the procedures are authorised, ensuring that performance indicator parameters and access rules are adhered to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rPr>
                <w:rStyle w:val="SpecialBold"/>
              </w:rPr>
              <w:t>Designate technical data and informat</w:t>
            </w:r>
            <w:r w:rsidRPr="003A587C">
              <w:rPr>
                <w:rStyle w:val="SpecialBold"/>
              </w:rPr>
              <w:t>ion creation and capture responsibilities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Responsibilities for technical data and information creation and capture activities are designated to staff in accordance with organisational policy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Technical data and information creation and capture performance targets are set within the parameters of the technical data management plan</w:t>
            </w:r>
          </w:p>
        </w:tc>
      </w:tr>
      <w:tr w:rsidTr="00B9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7C">
            <w:pPr>
              <w:pStyle w:val="BodyText"/>
              <w:rPr>
                <w:lang w:val="en-NZ"/>
              </w:rPr>
            </w:pPr>
            <w:r w:rsidRPr="003A587C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7C" w:rsidP="003A587C">
            <w:pPr>
              <w:pStyle w:val="BodyText"/>
            </w:pPr>
            <w:r w:rsidRPr="003A587C">
              <w:t>Resources for the budget period are allocated in accordance with organisational policy and strategic plan</w:t>
            </w:r>
          </w:p>
        </w:tc>
      </w:tr>
    </w:tbl>
    <w:p w:rsidR="00B90B90" w:rsidP="003A587C">
      <w:pPr>
        <w:pStyle w:val="BodyText"/>
      </w:pPr>
    </w:p>
    <w:p w:rsidR="00B90B90" w:rsidP="003A587C">
      <w:pPr>
        <w:pStyle w:val="BodyText"/>
      </w:pPr>
    </w:p>
    <w:p w:rsidR="00000000" w:rsidRPr="003A587C" w:rsidP="003A587C">
      <w:pPr>
        <w:pStyle w:val="Heading1"/>
      </w:pPr>
      <w:bookmarkStart w:id="7" w:name="O_742044"/>
      <w:bookmarkEnd w:id="7"/>
      <w:r w:rsidRPr="003A587C">
        <w:t>Foundation Skills</w:t>
      </w:r>
    </w:p>
    <w:p w:rsidR="00B90B90" w:rsidP="00B90B90">
      <w:pPr>
        <w:pStyle w:val="BodyText"/>
      </w:pPr>
      <w:r w:rsidRPr="003A587C">
        <w:t>Foundation skills essential to performance are explicit in the performance criteria of this unit of competency.</w:t>
      </w:r>
    </w:p>
    <w:p w:rsidR="00000000" w:rsidRPr="003A587C" w:rsidP="003A587C">
      <w:pPr>
        <w:pStyle w:val="Heading1"/>
      </w:pPr>
      <w:bookmarkStart w:id="8" w:name="O_742045"/>
      <w:bookmarkEnd w:id="8"/>
      <w:r w:rsidRPr="003A587C">
        <w:t>Range of Conditions</w:t>
      </w:r>
    </w:p>
    <w:p w:rsidR="00000000" w:rsidRPr="003A587C" w:rsidP="00B90B90">
      <w:pPr>
        <w:pStyle w:val="BodyText"/>
      </w:pPr>
      <w:r w:rsidRPr="003A587C">
        <w:t>Range is restricted to essential operating conditions and any other variables essential to the work environment.</w:t>
      </w:r>
    </w:p>
    <w:p w:rsidR="00B90B90" w:rsidP="00B90B90">
      <w:pPr>
        <w:pStyle w:val="BodyText"/>
      </w:pPr>
      <w:r w:rsidRPr="003A587C">
        <w:t>Non-essential conditions can be found in the Companion Volume Implementation Guide.</w:t>
      </w:r>
    </w:p>
    <w:p w:rsidR="00000000" w:rsidRPr="003A587C" w:rsidP="003A587C">
      <w:pPr>
        <w:pStyle w:val="Heading1"/>
      </w:pPr>
      <w:bookmarkStart w:id="9" w:name="O_742046"/>
      <w:bookmarkEnd w:id="9"/>
      <w:r w:rsidRPr="003A587C">
        <w:t>Unit Mapping Information</w:t>
      </w:r>
    </w:p>
    <w:p w:rsidR="00000000" w:rsidRPr="003A587C" w:rsidP="00B90B90">
      <w:pPr>
        <w:pStyle w:val="BodyText"/>
      </w:pPr>
      <w:r w:rsidRPr="003A587C">
        <w:t>This unit replac</w:t>
      </w:r>
      <w:r w:rsidRPr="003A587C">
        <w:t>es and is equivalent to TLIX5036A Manage and monitor technical data and information systems.</w:t>
      </w:r>
    </w:p>
    <w:p w:rsidR="00000000" w:rsidRPr="003A587C" w:rsidP="003A587C">
      <w:pPr>
        <w:pStyle w:val="Heading1"/>
      </w:pPr>
      <w:bookmarkStart w:id="10" w:name="O_742053"/>
      <w:bookmarkEnd w:id="10"/>
      <w:r w:rsidRPr="003A587C">
        <w:t>Links</w:t>
      </w:r>
    </w:p>
    <w:p w:rsidR="00000000" w:rsidRPr="003A587C" w:rsidP="00B90B90">
      <w:pPr>
        <w:pStyle w:val="BodyText"/>
      </w:pPr>
      <w:r w:rsidRPr="003A58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E5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587C" w:rsidP="003A587C"/>
    <w:sectPr w:rsidSect="003A58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7C" w:rsidRPr="00B90B90" w:rsidP="00B90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90" w:rsidP="003A5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B90" w:rsidP="003A5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0B90" w:rsidP="003A5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87C" w:rsidRPr="00B90B90" w:rsidP="00B90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B90" w:rsidRPr="002D2AF8" w:rsidP="003A5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TLIX5036 Manage and monitor technical data and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90B90" w:rsidP="003A5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87C"/>
  </w:style>
  <w:style w:type="character" w:customStyle="1" w:styleId="Heading1Char">
    <w:name w:val="Heading 1 Char"/>
    <w:basedOn w:val="DefaultParagraphFont"/>
    <w:link w:val="Heading1"/>
    <w:rsid w:val="003A5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8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587C"/>
    <w:rPr>
      <w:b/>
      <w:spacing w:val="0"/>
    </w:rPr>
  </w:style>
  <w:style w:type="paragraph" w:customStyle="1" w:styleId="SuperHeading">
    <w:name w:val="SuperHeading"/>
    <w:basedOn w:val="Normal"/>
    <w:rsid w:val="003A5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8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58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5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8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8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87C"/>
    <w:rPr>
      <w:i/>
    </w:rPr>
  </w:style>
  <w:style w:type="paragraph" w:styleId="Caption">
    <w:name w:val="caption"/>
    <w:basedOn w:val="BodyText"/>
    <w:next w:val="Normal"/>
    <w:qFormat/>
    <w:rsid w:val="003A5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87C"/>
  </w:style>
  <w:style w:type="paragraph" w:styleId="TableofFigures">
    <w:name w:val="table of figures"/>
    <w:basedOn w:val="Normal"/>
    <w:next w:val="Normal"/>
    <w:semiHidden/>
    <w:rsid w:val="003A5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8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587C"/>
    <w:rPr>
      <w:rFonts w:ascii="Wingdings" w:hAnsi="Wingdings"/>
    </w:rPr>
  </w:style>
  <w:style w:type="paragraph" w:customStyle="1" w:styleId="TableHeading">
    <w:name w:val="Table Heading"/>
    <w:basedOn w:val="HeadingBase"/>
    <w:rsid w:val="003A5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87C"/>
    <w:rPr>
      <w:color w:val="0033CC"/>
      <w:u w:val="none"/>
    </w:rPr>
  </w:style>
  <w:style w:type="paragraph" w:customStyle="1" w:styleId="BodyTextRight">
    <w:name w:val="Body Text Right"/>
    <w:basedOn w:val="BodyText"/>
    <w:rsid w:val="003A5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8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87C"/>
    <w:rPr>
      <w:sz w:val="32"/>
    </w:rPr>
  </w:style>
  <w:style w:type="paragraph" w:customStyle="1" w:styleId="HeadingProcedure">
    <w:name w:val="Heading Procedure"/>
    <w:basedOn w:val="HeadingBase"/>
    <w:next w:val="Normal"/>
    <w:rsid w:val="003A5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87C"/>
    <w:pPr>
      <w:spacing w:before="60" w:after="60"/>
    </w:pPr>
  </w:style>
  <w:style w:type="paragraph" w:styleId="ListContinue">
    <w:name w:val="List Continue"/>
    <w:basedOn w:val="List"/>
    <w:rsid w:val="003A587C"/>
    <w:pPr>
      <w:ind w:firstLine="0"/>
    </w:pPr>
  </w:style>
  <w:style w:type="paragraph" w:customStyle="1" w:styleId="ListNote">
    <w:name w:val="List Note"/>
    <w:basedOn w:val="List"/>
    <w:rsid w:val="003A5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87C"/>
    <w:rPr>
      <w:rFonts w:ascii="Courier New" w:hAnsi="Courier New"/>
    </w:rPr>
  </w:style>
  <w:style w:type="paragraph" w:customStyle="1" w:styleId="NoteBullet">
    <w:name w:val="Note Bullet"/>
    <w:basedOn w:val="Note"/>
    <w:rsid w:val="003A5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8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5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87C"/>
    <w:rPr>
      <w:b/>
      <w:smallCaps/>
    </w:rPr>
  </w:style>
  <w:style w:type="paragraph" w:customStyle="1" w:styleId="TableListNumber">
    <w:name w:val="Table List Number"/>
    <w:basedOn w:val="ListNumber"/>
    <w:rsid w:val="003A5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87C"/>
    <w:pPr>
      <w:numPr>
        <w:numId w:val="7"/>
      </w:numPr>
    </w:pPr>
  </w:style>
  <w:style w:type="paragraph" w:customStyle="1" w:styleId="ListAlpha2">
    <w:name w:val="List Alpha 2"/>
    <w:basedOn w:val="List2"/>
    <w:rsid w:val="003A587C"/>
    <w:pPr>
      <w:numPr>
        <w:numId w:val="6"/>
      </w:numPr>
    </w:pPr>
  </w:style>
  <w:style w:type="paragraph" w:styleId="List2">
    <w:name w:val="List 2"/>
    <w:basedOn w:val="BodyText"/>
    <w:rsid w:val="003A5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8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8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587C"/>
    <w:pPr>
      <w:numPr>
        <w:numId w:val="2"/>
      </w:numPr>
    </w:pPr>
  </w:style>
  <w:style w:type="paragraph" w:styleId="ListContinue2">
    <w:name w:val="List Continue 2"/>
    <w:basedOn w:val="List2"/>
    <w:rsid w:val="003A587C"/>
    <w:pPr>
      <w:ind w:firstLine="0"/>
    </w:pPr>
  </w:style>
  <w:style w:type="paragraph" w:styleId="ListContinue3">
    <w:name w:val="List Continue 3"/>
    <w:basedOn w:val="List3"/>
    <w:rsid w:val="003A587C"/>
    <w:pPr>
      <w:ind w:left="1021" w:firstLine="0"/>
    </w:pPr>
  </w:style>
  <w:style w:type="paragraph" w:styleId="ListContinue4">
    <w:name w:val="List Continue 4"/>
    <w:basedOn w:val="List4"/>
    <w:rsid w:val="003A587C"/>
    <w:pPr>
      <w:ind w:firstLine="0"/>
    </w:pPr>
  </w:style>
  <w:style w:type="paragraph" w:styleId="ListContinue5">
    <w:name w:val="List Continue 5"/>
    <w:basedOn w:val="List5"/>
    <w:rsid w:val="003A587C"/>
    <w:pPr>
      <w:ind w:firstLine="0"/>
    </w:pPr>
  </w:style>
  <w:style w:type="paragraph" w:styleId="ListNumber3">
    <w:name w:val="List Number 3"/>
    <w:basedOn w:val="List3"/>
    <w:rsid w:val="003A587C"/>
    <w:pPr>
      <w:numPr>
        <w:numId w:val="3"/>
      </w:numPr>
    </w:pPr>
  </w:style>
  <w:style w:type="paragraph" w:styleId="ListNumber4">
    <w:name w:val="List Number 4"/>
    <w:basedOn w:val="List4"/>
    <w:rsid w:val="003A587C"/>
    <w:pPr>
      <w:numPr>
        <w:numId w:val="4"/>
      </w:numPr>
    </w:pPr>
  </w:style>
  <w:style w:type="paragraph" w:styleId="ListNumber5">
    <w:name w:val="List Number 5"/>
    <w:basedOn w:val="List5"/>
    <w:rsid w:val="003A587C"/>
    <w:pPr>
      <w:numPr>
        <w:numId w:val="5"/>
      </w:numPr>
    </w:pPr>
  </w:style>
  <w:style w:type="paragraph" w:styleId="BlockText">
    <w:name w:val="Block Text"/>
    <w:basedOn w:val="Normal"/>
    <w:rsid w:val="003A5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87C"/>
    <w:rPr>
      <w:sz w:val="16"/>
      <w:vertAlign w:val="superscript"/>
    </w:rPr>
  </w:style>
  <w:style w:type="character" w:customStyle="1" w:styleId="Symbols">
    <w:name w:val="Symbols"/>
    <w:basedOn w:val="DefaultParagraphFont"/>
    <w:rsid w:val="003A587C"/>
    <w:rPr>
      <w:rFonts w:ascii="Symbol" w:hAnsi="Symbol"/>
    </w:rPr>
  </w:style>
  <w:style w:type="character" w:customStyle="1" w:styleId="MenuOptions">
    <w:name w:val="Menu Options"/>
    <w:basedOn w:val="DefaultParagraphFont"/>
    <w:rsid w:val="003A5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87C"/>
    <w:rPr>
      <w:b/>
    </w:rPr>
  </w:style>
  <w:style w:type="character" w:customStyle="1" w:styleId="Underlined">
    <w:name w:val="Underlined"/>
    <w:basedOn w:val="DefaultParagraphFont"/>
    <w:rsid w:val="003A587C"/>
    <w:rPr>
      <w:u w:val="single"/>
    </w:rPr>
  </w:style>
  <w:style w:type="paragraph" w:customStyle="1" w:styleId="TableBodyTextRight">
    <w:name w:val="Table Body Text Right"/>
    <w:basedOn w:val="TableBodyText"/>
    <w:rsid w:val="003A5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87C"/>
    <w:rPr>
      <w:sz w:val="18"/>
    </w:rPr>
  </w:style>
  <w:style w:type="paragraph" w:customStyle="1" w:styleId="BodySmallRight">
    <w:name w:val="Body Small Right"/>
    <w:basedOn w:val="BodyTextRight"/>
    <w:rsid w:val="003A587C"/>
    <w:rPr>
      <w:sz w:val="18"/>
      <w:szCs w:val="18"/>
    </w:rPr>
  </w:style>
  <w:style w:type="paragraph" w:customStyle="1" w:styleId="MarginEdition">
    <w:name w:val="Margin Edition"/>
    <w:basedOn w:val="MarginNote"/>
    <w:rsid w:val="003A5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87C"/>
    <w:rPr>
      <w:sz w:val="2"/>
      <w:szCs w:val="2"/>
    </w:rPr>
  </w:style>
  <w:style w:type="character" w:customStyle="1" w:styleId="Small">
    <w:name w:val="Small"/>
    <w:basedOn w:val="DefaultParagraphFont"/>
    <w:rsid w:val="003A587C"/>
    <w:rPr>
      <w:sz w:val="16"/>
    </w:rPr>
  </w:style>
  <w:style w:type="paragraph" w:customStyle="1" w:styleId="WideTable">
    <w:name w:val="Wide Table"/>
    <w:basedOn w:val="Normal"/>
    <w:rsid w:val="003A5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87C"/>
  </w:style>
  <w:style w:type="paragraph" w:styleId="Quote">
    <w:name w:val="Quote"/>
    <w:basedOn w:val="Heading1"/>
    <w:link w:val="QuoteChar"/>
    <w:qFormat/>
    <w:rsid w:val="003A5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87C"/>
    <w:pPr>
      <w:pageBreakBefore/>
    </w:pPr>
  </w:style>
  <w:style w:type="paragraph" w:customStyle="1" w:styleId="Border">
    <w:name w:val="Border"/>
    <w:basedOn w:val="Normal"/>
    <w:qFormat/>
    <w:rsid w:val="003A5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87C"/>
    <w:rPr>
      <w:u w:val="single"/>
    </w:rPr>
  </w:style>
  <w:style w:type="character" w:customStyle="1" w:styleId="BoldandItalics">
    <w:name w:val="Bold and Italics"/>
    <w:qFormat/>
    <w:rsid w:val="003A587C"/>
    <w:rPr>
      <w:b/>
      <w:i/>
      <w:u w:val="none"/>
    </w:rPr>
  </w:style>
  <w:style w:type="paragraph" w:styleId="BalloonText">
    <w:name w:val="Balloon Text"/>
    <w:basedOn w:val="Normal"/>
    <w:link w:val="BalloonTextChar"/>
    <w:rsid w:val="003A5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87C"/>
    <w:pPr>
      <w:spacing w:before="0" w:after="0"/>
    </w:pPr>
  </w:style>
  <w:style w:type="paragraph" w:customStyle="1" w:styleId="BodyTextBold">
    <w:name w:val="Body Text Bold"/>
    <w:basedOn w:val="BodyText"/>
    <w:qFormat/>
    <w:rsid w:val="003A587C"/>
    <w:rPr>
      <w:b/>
    </w:rPr>
  </w:style>
  <w:style w:type="character" w:styleId="Hyperlink">
    <w:name w:val="Hyperlink"/>
    <w:basedOn w:val="DefaultParagraphFont"/>
    <w:uiPriority w:val="99"/>
    <w:unhideWhenUsed/>
    <w:rsid w:val="00B90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5150</Characters>
  <Application>Microsoft Office Word</Application>
  <DocSecurity>0</DocSecurity>
  <Lines>190</Lines>
  <Paragraphs>104</Paragraphs>
  <ScaleCrop>false</ScaleCrop>
  <Company>Author-it Software Corporation Ltd.</Company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TLIX5036 Manage and monitor technical data and information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