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ADA" w:rsidP="003D1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TLIX5021 Manage configuration management processes</w:t>
      </w:r>
      <w:r>
        <w:fldChar w:fldCharType="end"/>
      </w:r>
    </w:p>
    <w:p w:rsidR="003D1ADA" w:rsidP="003D1ADA">
      <w:pPr>
        <w:pStyle w:val="Version"/>
        <w:sectPr w:rsidSect="00640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D1E" w:rsidP="00640D1E">
      <w:pPr>
        <w:pStyle w:val="SuperHeading"/>
      </w:pPr>
      <w:r w:rsidRPr="00640D1E">
        <w:t>TLIX5021 Manage configuration management processes</w:t>
      </w:r>
    </w:p>
    <w:p w:rsidR="00000000" w:rsidRPr="00640D1E" w:rsidP="00640D1E">
      <w:pPr>
        <w:pStyle w:val="Heading1"/>
      </w:pPr>
      <w:bookmarkStart w:id="1" w:name="O_755000"/>
      <w:bookmarkEnd w:id="1"/>
      <w:r w:rsidRPr="00640D1E">
        <w:t>Modification History</w:t>
      </w:r>
    </w:p>
    <w:p w:rsidR="003D1ADA" w:rsidP="003D1ADA">
      <w:pPr>
        <w:pStyle w:val="BodyText"/>
      </w:pPr>
      <w:r w:rsidRPr="00640D1E">
        <w:t>Release 1. This is the first release of this unit of competency in the TLI Transport and Logistics Training Package.</w:t>
      </w:r>
    </w:p>
    <w:p w:rsidR="00000000" w:rsidRPr="00640D1E" w:rsidP="00640D1E">
      <w:pPr>
        <w:pStyle w:val="Heading1"/>
      </w:pPr>
      <w:bookmarkStart w:id="2" w:name="O_755001"/>
      <w:bookmarkEnd w:id="2"/>
      <w:r w:rsidRPr="00640D1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t>This unit involves the skills and knowledge required to prepare for configuratio</w:t>
            </w:r>
            <w:r w:rsidRPr="00640D1E">
              <w:t xml:space="preserve">n management processes, to manage those processes throughout the materiel life cycle and to report on those processes in the organisational environment. </w:t>
            </w:r>
          </w:p>
          <w:p w:rsidR="00000000" w:rsidRPr="00640D1E" w:rsidP="00640D1E">
            <w:pPr>
              <w:pStyle w:val="BodyText"/>
            </w:pPr>
            <w:r w:rsidRPr="00640D1E">
              <w:t>This unit was developed for configuration management specialists working within materiel logistics but</w:t>
            </w:r>
            <w:r w:rsidRPr="00640D1E">
              <w:t xml:space="preserve"> is applicable to individuals in broader logistics roles.</w:t>
            </w:r>
          </w:p>
          <w:p w:rsidR="00000000" w:rsidRPr="00640D1E" w:rsidP="00640D1E">
            <w:pPr>
              <w:pStyle w:val="BodyText"/>
            </w:pPr>
            <w:r w:rsidRPr="00640D1E">
              <w:t xml:space="preserve">Typically these individuals work independently or as part of a team under direct and/or indirect supervision, use discretion and judgement, and take responsibility for the quality of their outputs. </w:t>
            </w:r>
            <w:r w:rsidRPr="00640D1E">
              <w:t>All activities are carried out in accordance with relevant organisational policy and procedures.</w:t>
            </w:r>
          </w:p>
          <w:p w:rsidR="00000000" w:rsidRPr="00640D1E" w:rsidP="00640D1E">
            <w:pPr>
              <w:pStyle w:val="BodyText"/>
            </w:pPr>
            <w:r w:rsidRPr="00640D1E">
              <w:t>No licensing, legislative or certification requirements apply to this unit at the time of publication.</w:t>
            </w:r>
          </w:p>
        </w:tc>
      </w:tr>
    </w:tbl>
    <w:p w:rsidR="003D1ADA" w:rsidP="00640D1E">
      <w:pPr>
        <w:pStyle w:val="BodyText"/>
      </w:pPr>
    </w:p>
    <w:p w:rsidR="003D1ADA" w:rsidP="00640D1E">
      <w:pPr>
        <w:pStyle w:val="BodyText"/>
      </w:pPr>
    </w:p>
    <w:p w:rsidR="00000000" w:rsidRPr="00640D1E" w:rsidP="00640D1E">
      <w:pPr>
        <w:pStyle w:val="Heading1"/>
      </w:pPr>
      <w:bookmarkStart w:id="3" w:name="O_755002"/>
      <w:bookmarkEnd w:id="3"/>
      <w:r w:rsidRPr="00640D1E">
        <w:t>Pre-requisite Unit</w:t>
      </w:r>
    </w:p>
    <w:p w:rsidR="003D1ADA" w:rsidP="003D1ADA">
      <w:pPr>
        <w:pStyle w:val="BodyText"/>
      </w:pPr>
      <w:r w:rsidRPr="00640D1E">
        <w:t>Not applicable.</w:t>
      </w:r>
    </w:p>
    <w:p w:rsidR="00000000" w:rsidRPr="00640D1E" w:rsidP="00640D1E">
      <w:pPr>
        <w:pStyle w:val="Heading1"/>
      </w:pPr>
      <w:bookmarkStart w:id="4" w:name="O_755003"/>
      <w:bookmarkEnd w:id="4"/>
      <w:r w:rsidRPr="00640D1E">
        <w:t>Competency Field</w:t>
      </w:r>
    </w:p>
    <w:p w:rsidR="003D1ADA" w:rsidP="003D1ADA">
      <w:pPr>
        <w:pStyle w:val="BodyText"/>
      </w:pPr>
      <w:r w:rsidRPr="00640D1E">
        <w:t>X – Logistics</w:t>
      </w:r>
    </w:p>
    <w:p w:rsidR="00000000" w:rsidRPr="00640D1E" w:rsidP="00640D1E">
      <w:pPr>
        <w:pStyle w:val="Heading1"/>
      </w:pPr>
      <w:bookmarkStart w:id="5" w:name="O_755004"/>
      <w:bookmarkEnd w:id="5"/>
      <w:r w:rsidRPr="00640D1E">
        <w:t>Unit Sector</w:t>
      </w:r>
    </w:p>
    <w:p w:rsidR="003D1ADA" w:rsidP="003D1ADA">
      <w:pPr>
        <w:pStyle w:val="BodyText"/>
      </w:pPr>
      <w:r w:rsidRPr="00640D1E">
        <w:t>Not applicable.</w:t>
      </w:r>
    </w:p>
    <w:p w:rsidR="00000000" w:rsidRPr="00640D1E" w:rsidP="00640D1E">
      <w:pPr>
        <w:pStyle w:val="Heading1"/>
      </w:pPr>
      <w:bookmarkStart w:id="6" w:name="O_755005"/>
      <w:bookmarkEnd w:id="6"/>
      <w:r w:rsidRPr="00640D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Performance criteria describe the performance needed to demonstrate achievement of the element.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rPr>
                <w:rStyle w:val="SpecialBold"/>
              </w:rPr>
              <w:t>Identify configuration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Sources of information relevant to configuration management are identified and obtained in accordance wit</w:t>
            </w:r>
            <w:r w:rsidRPr="00640D1E">
              <w:t>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Currency of information is reviewed and documented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</w:t>
            </w:r>
            <w:r w:rsidRPr="00640D1E">
              <w:t>ent requirements are defined and documented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rPr>
                <w:rStyle w:val="SpecialBold"/>
              </w:rPr>
              <w:t>Develop configuration management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Consultation with stakeholders is conducted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management processes are developed and recorded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Key performance indicators are developed and documented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Analysis of configuration management processes is developed and documented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rPr>
                <w:rStyle w:val="SpecialBold"/>
              </w:rPr>
              <w:t>Apply configuration management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management risks and impacts are identified, recorded and manag</w:t>
            </w:r>
            <w:r w:rsidRPr="00640D1E">
              <w:t>ed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management procedures are applied in accordance with legislative requirements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management processes are carried out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Failures and variances are documented, reported and managed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Participation and contribution to configuration management processes are established and maintained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rPr>
                <w:rStyle w:val="SpecialBold"/>
              </w:rPr>
              <w:t>Review configuration managemen</w:t>
            </w:r>
            <w:r w:rsidRPr="00640D1E">
              <w:rPr>
                <w:rStyle w:val="SpecialBold"/>
              </w:rPr>
              <w:t>t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Performance systems and processes are monitored and analysed to assess progress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Systems, procedures and records associated with documenting performance are managed in accordance with organisational requirements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Configuration management processes are reviewed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Changes required are identified and prepared in accordance with organisational policy and procedures</w:t>
            </w:r>
          </w:p>
        </w:tc>
      </w:tr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1E">
            <w:pPr>
              <w:pStyle w:val="BodyText"/>
              <w:rPr>
                <w:lang w:val="en-NZ"/>
              </w:rPr>
            </w:pPr>
            <w:r w:rsidRPr="00640D1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t>Amendments to configuration management processes are incorporated into plans and promulgated to relevant stakeholders in accordance with organisational policy and procedures</w:t>
            </w:r>
          </w:p>
        </w:tc>
      </w:tr>
    </w:tbl>
    <w:p w:rsidR="003D1ADA" w:rsidP="00640D1E">
      <w:pPr>
        <w:pStyle w:val="BodyText"/>
      </w:pPr>
    </w:p>
    <w:p w:rsidR="003D1ADA" w:rsidP="00640D1E">
      <w:pPr>
        <w:pStyle w:val="BodyText"/>
      </w:pPr>
    </w:p>
    <w:p w:rsidR="00000000" w:rsidRPr="00640D1E" w:rsidP="00640D1E">
      <w:pPr>
        <w:pStyle w:val="Heading1"/>
      </w:pPr>
      <w:bookmarkStart w:id="7" w:name="O_755006"/>
      <w:bookmarkEnd w:id="7"/>
      <w:r w:rsidRPr="00640D1E">
        <w:t>Foundation Skills</w:t>
      </w:r>
    </w:p>
    <w:p w:rsidR="003D1ADA" w:rsidP="003D1ADA">
      <w:pPr>
        <w:pStyle w:val="BodyText"/>
      </w:pPr>
      <w:r w:rsidRPr="00640D1E">
        <w:t>Foundation skills essential to performance a</w:t>
      </w:r>
      <w:r w:rsidRPr="00640D1E">
        <w:t>re explicit in the performance criteria of this unit of competency.</w:t>
      </w:r>
    </w:p>
    <w:p w:rsidR="00000000" w:rsidRPr="00640D1E" w:rsidP="00640D1E">
      <w:pPr>
        <w:pStyle w:val="Heading1"/>
      </w:pPr>
      <w:bookmarkStart w:id="8" w:name="O_755007"/>
      <w:bookmarkEnd w:id="8"/>
      <w:r w:rsidRPr="00640D1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D1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1E" w:rsidP="00640D1E">
            <w:pPr>
              <w:pStyle w:val="BodyText"/>
            </w:pPr>
            <w:r w:rsidRPr="00640D1E">
              <w:t>Range is restricted to essential operating conditions and any other variables essential to the work environment.</w:t>
            </w:r>
          </w:p>
          <w:p w:rsidR="00000000" w:rsidRPr="00640D1E" w:rsidP="00640D1E">
            <w:pPr>
              <w:pStyle w:val="BodyText"/>
            </w:pPr>
            <w:r w:rsidRPr="00640D1E">
              <w:t>Non-essential conditions can be found</w:t>
            </w:r>
            <w:r w:rsidRPr="00640D1E">
              <w:t xml:space="preserve"> in the Companion Volume Implementation Guide.</w:t>
            </w:r>
          </w:p>
        </w:tc>
      </w:tr>
    </w:tbl>
    <w:p w:rsidR="003D1ADA" w:rsidP="00640D1E">
      <w:pPr>
        <w:pStyle w:val="BodyText"/>
      </w:pPr>
    </w:p>
    <w:p w:rsidR="003D1ADA" w:rsidP="00640D1E">
      <w:pPr>
        <w:pStyle w:val="BodyText"/>
      </w:pPr>
    </w:p>
    <w:p w:rsidR="00000000" w:rsidRPr="00640D1E" w:rsidP="00640D1E">
      <w:pPr>
        <w:pStyle w:val="Heading1"/>
      </w:pPr>
      <w:bookmarkStart w:id="9" w:name="O_755008"/>
      <w:bookmarkEnd w:id="9"/>
      <w:r w:rsidRPr="00640D1E">
        <w:t>Unit Mapping Information</w:t>
      </w:r>
    </w:p>
    <w:p w:rsidR="003D1ADA" w:rsidP="003D1ADA">
      <w:pPr>
        <w:pStyle w:val="BodyText"/>
      </w:pPr>
      <w:r w:rsidRPr="00640D1E">
        <w:t>This unit replaces and is equivalent to TLIX5021A Manage configuration management processes.</w:t>
      </w:r>
    </w:p>
    <w:p w:rsidR="00000000" w:rsidRPr="00640D1E" w:rsidP="00640D1E">
      <w:pPr>
        <w:pStyle w:val="Heading1"/>
      </w:pPr>
      <w:bookmarkStart w:id="10" w:name="O_755015"/>
      <w:bookmarkEnd w:id="10"/>
      <w:r w:rsidRPr="00640D1E">
        <w:t>Links</w:t>
      </w:r>
    </w:p>
    <w:p w:rsidR="00000000" w:rsidRPr="00640D1E" w:rsidP="003D1ADA">
      <w:pPr>
        <w:pStyle w:val="BodyText"/>
      </w:pPr>
      <w:r w:rsidRPr="00640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16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0D1E" w:rsidP="00640D1E"/>
    <w:sectPr w:rsidSect="00640D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1E" w:rsidRPr="003D1ADA" w:rsidP="003D1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DA" w:rsidP="00640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ADA" w:rsidP="00640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1ADA" w:rsidP="00640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D1E" w:rsidRPr="003D1ADA" w:rsidP="003D1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DA" w:rsidRPr="002D2AF8" w:rsidP="00640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TLIX5021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D1ADA" w:rsidP="00640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D1E"/>
  </w:style>
  <w:style w:type="character" w:customStyle="1" w:styleId="Heading1Char">
    <w:name w:val="Heading 1 Char"/>
    <w:basedOn w:val="DefaultParagraphFont"/>
    <w:link w:val="Heading1"/>
    <w:rsid w:val="00640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D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0D1E"/>
    <w:rPr>
      <w:b/>
      <w:spacing w:val="0"/>
    </w:rPr>
  </w:style>
  <w:style w:type="paragraph" w:customStyle="1" w:styleId="SuperHeading">
    <w:name w:val="SuperHeading"/>
    <w:basedOn w:val="Normal"/>
    <w:rsid w:val="00640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D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D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0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D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D1E"/>
    <w:rPr>
      <w:i/>
    </w:rPr>
  </w:style>
  <w:style w:type="paragraph" w:styleId="Caption">
    <w:name w:val="caption"/>
    <w:basedOn w:val="BodyText"/>
    <w:next w:val="Normal"/>
    <w:qFormat/>
    <w:rsid w:val="00640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D1E"/>
  </w:style>
  <w:style w:type="paragraph" w:styleId="TableofFigures">
    <w:name w:val="table of figures"/>
    <w:basedOn w:val="Normal"/>
    <w:next w:val="Normal"/>
    <w:semiHidden/>
    <w:rsid w:val="00640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D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0D1E"/>
    <w:rPr>
      <w:rFonts w:ascii="Wingdings" w:hAnsi="Wingdings"/>
    </w:rPr>
  </w:style>
  <w:style w:type="paragraph" w:customStyle="1" w:styleId="TableHeading">
    <w:name w:val="Table Heading"/>
    <w:basedOn w:val="HeadingBase"/>
    <w:rsid w:val="00640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D1E"/>
    <w:rPr>
      <w:color w:val="0033CC"/>
      <w:u w:val="none"/>
    </w:rPr>
  </w:style>
  <w:style w:type="paragraph" w:customStyle="1" w:styleId="BodyTextRight">
    <w:name w:val="Body Text Right"/>
    <w:basedOn w:val="BodyText"/>
    <w:rsid w:val="00640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D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D1E"/>
    <w:rPr>
      <w:sz w:val="32"/>
    </w:rPr>
  </w:style>
  <w:style w:type="paragraph" w:customStyle="1" w:styleId="HeadingProcedure">
    <w:name w:val="Heading Procedure"/>
    <w:basedOn w:val="HeadingBase"/>
    <w:next w:val="Normal"/>
    <w:rsid w:val="00640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D1E"/>
    <w:pPr>
      <w:spacing w:before="60" w:after="60"/>
    </w:pPr>
  </w:style>
  <w:style w:type="paragraph" w:styleId="ListContinue">
    <w:name w:val="List Continue"/>
    <w:basedOn w:val="List"/>
    <w:rsid w:val="00640D1E"/>
    <w:pPr>
      <w:ind w:firstLine="0"/>
    </w:pPr>
  </w:style>
  <w:style w:type="paragraph" w:customStyle="1" w:styleId="ListNote">
    <w:name w:val="List Note"/>
    <w:basedOn w:val="List"/>
    <w:rsid w:val="00640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D1E"/>
    <w:rPr>
      <w:rFonts w:ascii="Courier New" w:hAnsi="Courier New"/>
    </w:rPr>
  </w:style>
  <w:style w:type="paragraph" w:customStyle="1" w:styleId="NoteBullet">
    <w:name w:val="Note Bullet"/>
    <w:basedOn w:val="Note"/>
    <w:rsid w:val="00640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D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0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D1E"/>
    <w:rPr>
      <w:b/>
      <w:smallCaps/>
    </w:rPr>
  </w:style>
  <w:style w:type="paragraph" w:customStyle="1" w:styleId="TableListNumber">
    <w:name w:val="Table List Number"/>
    <w:basedOn w:val="ListNumber"/>
    <w:rsid w:val="00640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D1E"/>
    <w:pPr>
      <w:numPr>
        <w:numId w:val="7"/>
      </w:numPr>
    </w:pPr>
  </w:style>
  <w:style w:type="paragraph" w:customStyle="1" w:styleId="ListAlpha2">
    <w:name w:val="List Alpha 2"/>
    <w:basedOn w:val="List2"/>
    <w:rsid w:val="00640D1E"/>
    <w:pPr>
      <w:numPr>
        <w:numId w:val="6"/>
      </w:numPr>
    </w:pPr>
  </w:style>
  <w:style w:type="paragraph" w:styleId="List2">
    <w:name w:val="List 2"/>
    <w:basedOn w:val="BodyText"/>
    <w:rsid w:val="00640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D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D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0D1E"/>
    <w:pPr>
      <w:numPr>
        <w:numId w:val="2"/>
      </w:numPr>
    </w:pPr>
  </w:style>
  <w:style w:type="paragraph" w:styleId="ListContinue2">
    <w:name w:val="List Continue 2"/>
    <w:basedOn w:val="List2"/>
    <w:rsid w:val="00640D1E"/>
    <w:pPr>
      <w:ind w:firstLine="0"/>
    </w:pPr>
  </w:style>
  <w:style w:type="paragraph" w:styleId="ListContinue3">
    <w:name w:val="List Continue 3"/>
    <w:basedOn w:val="List3"/>
    <w:rsid w:val="00640D1E"/>
    <w:pPr>
      <w:ind w:left="1021" w:firstLine="0"/>
    </w:pPr>
  </w:style>
  <w:style w:type="paragraph" w:styleId="ListContinue4">
    <w:name w:val="List Continue 4"/>
    <w:basedOn w:val="List4"/>
    <w:rsid w:val="00640D1E"/>
    <w:pPr>
      <w:ind w:firstLine="0"/>
    </w:pPr>
  </w:style>
  <w:style w:type="paragraph" w:styleId="ListContinue5">
    <w:name w:val="List Continue 5"/>
    <w:basedOn w:val="List5"/>
    <w:rsid w:val="00640D1E"/>
    <w:pPr>
      <w:ind w:firstLine="0"/>
    </w:pPr>
  </w:style>
  <w:style w:type="paragraph" w:styleId="ListNumber3">
    <w:name w:val="List Number 3"/>
    <w:basedOn w:val="List3"/>
    <w:rsid w:val="00640D1E"/>
    <w:pPr>
      <w:numPr>
        <w:numId w:val="3"/>
      </w:numPr>
    </w:pPr>
  </w:style>
  <w:style w:type="paragraph" w:styleId="ListNumber4">
    <w:name w:val="List Number 4"/>
    <w:basedOn w:val="List4"/>
    <w:rsid w:val="00640D1E"/>
    <w:pPr>
      <w:numPr>
        <w:numId w:val="4"/>
      </w:numPr>
    </w:pPr>
  </w:style>
  <w:style w:type="paragraph" w:styleId="ListNumber5">
    <w:name w:val="List Number 5"/>
    <w:basedOn w:val="List5"/>
    <w:rsid w:val="00640D1E"/>
    <w:pPr>
      <w:numPr>
        <w:numId w:val="5"/>
      </w:numPr>
    </w:pPr>
  </w:style>
  <w:style w:type="paragraph" w:styleId="BlockText">
    <w:name w:val="Block Text"/>
    <w:basedOn w:val="Normal"/>
    <w:rsid w:val="00640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D1E"/>
    <w:rPr>
      <w:sz w:val="16"/>
      <w:vertAlign w:val="superscript"/>
    </w:rPr>
  </w:style>
  <w:style w:type="character" w:customStyle="1" w:styleId="Symbols">
    <w:name w:val="Symbols"/>
    <w:basedOn w:val="DefaultParagraphFont"/>
    <w:rsid w:val="00640D1E"/>
    <w:rPr>
      <w:rFonts w:ascii="Symbol" w:hAnsi="Symbol"/>
    </w:rPr>
  </w:style>
  <w:style w:type="character" w:customStyle="1" w:styleId="MenuOptions">
    <w:name w:val="Menu Options"/>
    <w:basedOn w:val="DefaultParagraphFont"/>
    <w:rsid w:val="00640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D1E"/>
    <w:rPr>
      <w:b/>
    </w:rPr>
  </w:style>
  <w:style w:type="character" w:customStyle="1" w:styleId="Underlined">
    <w:name w:val="Underlined"/>
    <w:basedOn w:val="DefaultParagraphFont"/>
    <w:rsid w:val="00640D1E"/>
    <w:rPr>
      <w:u w:val="single"/>
    </w:rPr>
  </w:style>
  <w:style w:type="paragraph" w:customStyle="1" w:styleId="TableBodyTextRight">
    <w:name w:val="Table Body Text Right"/>
    <w:basedOn w:val="TableBodyText"/>
    <w:rsid w:val="00640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D1E"/>
    <w:rPr>
      <w:sz w:val="18"/>
    </w:rPr>
  </w:style>
  <w:style w:type="paragraph" w:customStyle="1" w:styleId="BodySmallRight">
    <w:name w:val="Body Small Right"/>
    <w:basedOn w:val="BodyTextRight"/>
    <w:rsid w:val="00640D1E"/>
    <w:rPr>
      <w:sz w:val="18"/>
      <w:szCs w:val="18"/>
    </w:rPr>
  </w:style>
  <w:style w:type="paragraph" w:customStyle="1" w:styleId="MarginEdition">
    <w:name w:val="Margin Edition"/>
    <w:basedOn w:val="MarginNote"/>
    <w:rsid w:val="00640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D1E"/>
    <w:rPr>
      <w:sz w:val="2"/>
      <w:szCs w:val="2"/>
    </w:rPr>
  </w:style>
  <w:style w:type="character" w:customStyle="1" w:styleId="Small">
    <w:name w:val="Small"/>
    <w:basedOn w:val="DefaultParagraphFont"/>
    <w:rsid w:val="00640D1E"/>
    <w:rPr>
      <w:sz w:val="16"/>
    </w:rPr>
  </w:style>
  <w:style w:type="paragraph" w:customStyle="1" w:styleId="WideTable">
    <w:name w:val="Wide Table"/>
    <w:basedOn w:val="Normal"/>
    <w:rsid w:val="00640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D1E"/>
  </w:style>
  <w:style w:type="paragraph" w:styleId="Quote">
    <w:name w:val="Quote"/>
    <w:basedOn w:val="Heading1"/>
    <w:link w:val="QuoteChar"/>
    <w:qFormat/>
    <w:rsid w:val="00640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D1E"/>
    <w:pPr>
      <w:pageBreakBefore/>
    </w:pPr>
  </w:style>
  <w:style w:type="paragraph" w:customStyle="1" w:styleId="Border">
    <w:name w:val="Border"/>
    <w:basedOn w:val="Normal"/>
    <w:qFormat/>
    <w:rsid w:val="00640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D1E"/>
    <w:rPr>
      <w:u w:val="single"/>
    </w:rPr>
  </w:style>
  <w:style w:type="character" w:customStyle="1" w:styleId="BoldandItalics">
    <w:name w:val="Bold and Italics"/>
    <w:qFormat/>
    <w:rsid w:val="00640D1E"/>
    <w:rPr>
      <w:b/>
      <w:i/>
      <w:u w:val="none"/>
    </w:rPr>
  </w:style>
  <w:style w:type="paragraph" w:styleId="BalloonText">
    <w:name w:val="Balloon Text"/>
    <w:basedOn w:val="Normal"/>
    <w:link w:val="BalloonTextChar"/>
    <w:rsid w:val="00640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D1E"/>
    <w:pPr>
      <w:spacing w:before="0" w:after="0"/>
    </w:pPr>
  </w:style>
  <w:style w:type="paragraph" w:customStyle="1" w:styleId="BodyTextBold">
    <w:name w:val="Body Text Bold"/>
    <w:basedOn w:val="BodyText"/>
    <w:qFormat/>
    <w:rsid w:val="00640D1E"/>
    <w:rPr>
      <w:b/>
    </w:rPr>
  </w:style>
  <w:style w:type="character" w:styleId="Hyperlink">
    <w:name w:val="Hyperlink"/>
    <w:basedOn w:val="DefaultParagraphFont"/>
    <w:uiPriority w:val="99"/>
    <w:unhideWhenUsed/>
    <w:rsid w:val="003D1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3776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TLIX5021 Manage configuration management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