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527" w:rsidP="00D74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TLIX5021 Manage configuration management processes</w:t>
      </w:r>
      <w:r>
        <w:fldChar w:fldCharType="end"/>
      </w:r>
    </w:p>
    <w:p w:rsidR="00D74527" w:rsidP="00D74527">
      <w:pPr>
        <w:pStyle w:val="Version"/>
        <w:sectPr w:rsidSect="00722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DAC" w:rsidP="00722DAC">
      <w:pPr>
        <w:pStyle w:val="SuperHeading"/>
      </w:pPr>
      <w:r w:rsidRPr="00722DAC">
        <w:t>TLIX5021 Manage configuration management processes</w:t>
      </w:r>
    </w:p>
    <w:p w:rsidR="00000000" w:rsidRPr="00722DAC" w:rsidP="00722DAC">
      <w:pPr>
        <w:pStyle w:val="Heading1"/>
      </w:pPr>
      <w:bookmarkStart w:id="1" w:name="O_755000"/>
      <w:bookmarkEnd w:id="1"/>
      <w:r w:rsidRPr="00722DAC">
        <w:t>Modification History</w:t>
      </w:r>
    </w:p>
    <w:p w:rsidR="00D74527" w:rsidP="00D74527">
      <w:pPr>
        <w:pStyle w:val="BodyText"/>
      </w:pPr>
      <w:r w:rsidRPr="00722DAC">
        <w:t>Release 1. This is the first release of this unit of competency in the TLI Transport and Logistics Training Package.</w:t>
      </w:r>
    </w:p>
    <w:p w:rsidR="00000000" w:rsidRPr="00722DAC" w:rsidP="00722DAC">
      <w:pPr>
        <w:pStyle w:val="Heading1"/>
      </w:pPr>
      <w:bookmarkStart w:id="2" w:name="O_755001"/>
      <w:bookmarkEnd w:id="2"/>
      <w:r w:rsidRPr="00722DA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t>This unit involves the skills and knowledge required to prepare for configuratio</w:t>
            </w:r>
            <w:r w:rsidRPr="00722DAC">
              <w:t xml:space="preserve">n management processes, to manage those processes throughout the materiel life cycle and to report on those processes in the organisational environment. </w:t>
            </w:r>
          </w:p>
          <w:p w:rsidR="00000000" w:rsidRPr="00722DAC" w:rsidP="00722DAC">
            <w:pPr>
              <w:pStyle w:val="BodyText"/>
            </w:pPr>
            <w:r w:rsidRPr="00722DAC">
              <w:t>This unit was developed for configuration management specialists working within materiel logistics but</w:t>
            </w:r>
            <w:r w:rsidRPr="00722DAC">
              <w:t xml:space="preserve"> is applicable to individuals in broader logistics roles.</w:t>
            </w:r>
          </w:p>
          <w:p w:rsidR="00000000" w:rsidRPr="00722DAC" w:rsidP="00722DAC">
            <w:pPr>
              <w:pStyle w:val="BodyText"/>
            </w:pPr>
            <w:r w:rsidRPr="00722DAC">
              <w:t xml:space="preserve">Typically these individuals work independently or as part of a team under direct and/or indirect supervision, use discretion and judgement, and take responsibility for the quality of their outputs. </w:t>
            </w:r>
            <w:r w:rsidRPr="00722DAC">
              <w:t>All activities are carried out in accordance with relevant organisational policy and procedures.</w:t>
            </w:r>
          </w:p>
          <w:p w:rsidR="00000000" w:rsidRPr="00722DAC" w:rsidP="00722DAC">
            <w:pPr>
              <w:pStyle w:val="BodyText"/>
            </w:pPr>
            <w:r w:rsidRPr="00722DAC">
              <w:t>No licensing, legislative or certification requirements apply to this unit at the time of publication.</w:t>
            </w:r>
          </w:p>
        </w:tc>
      </w:tr>
    </w:tbl>
    <w:p w:rsidR="00D74527" w:rsidP="00722DAC">
      <w:pPr>
        <w:pStyle w:val="BodyText"/>
      </w:pPr>
    </w:p>
    <w:p w:rsidR="00D74527" w:rsidP="00722DAC">
      <w:pPr>
        <w:pStyle w:val="BodyText"/>
      </w:pPr>
    </w:p>
    <w:p w:rsidR="00000000" w:rsidRPr="00722DAC" w:rsidP="00722DAC">
      <w:pPr>
        <w:pStyle w:val="Heading1"/>
      </w:pPr>
      <w:bookmarkStart w:id="3" w:name="O_755002"/>
      <w:bookmarkEnd w:id="3"/>
      <w:r w:rsidRPr="00722DAC">
        <w:t>Pre-requisite Unit</w:t>
      </w:r>
    </w:p>
    <w:p w:rsidR="00D74527" w:rsidP="00D74527">
      <w:pPr>
        <w:pStyle w:val="BodyText"/>
      </w:pPr>
      <w:r w:rsidRPr="00722DAC">
        <w:t>Not applicable.</w:t>
      </w:r>
    </w:p>
    <w:p w:rsidR="00000000" w:rsidRPr="00722DAC" w:rsidP="00722DAC">
      <w:pPr>
        <w:pStyle w:val="Heading1"/>
      </w:pPr>
      <w:bookmarkStart w:id="4" w:name="O_755003"/>
      <w:bookmarkEnd w:id="4"/>
      <w:r w:rsidRPr="00722DAC">
        <w:t>Competency Field</w:t>
      </w:r>
    </w:p>
    <w:p w:rsidR="00D74527" w:rsidP="00D74527">
      <w:pPr>
        <w:pStyle w:val="BodyText"/>
      </w:pPr>
      <w:r w:rsidRPr="00722DAC">
        <w:t>X – Logistics</w:t>
      </w:r>
    </w:p>
    <w:p w:rsidR="00000000" w:rsidRPr="00722DAC" w:rsidP="00722DAC">
      <w:pPr>
        <w:pStyle w:val="Heading1"/>
      </w:pPr>
      <w:bookmarkStart w:id="5" w:name="O_755004"/>
      <w:bookmarkEnd w:id="5"/>
      <w:r w:rsidRPr="00722DAC">
        <w:t>Unit Sector</w:t>
      </w:r>
    </w:p>
    <w:p w:rsidR="00D74527" w:rsidP="00D74527">
      <w:pPr>
        <w:pStyle w:val="BodyText"/>
      </w:pPr>
      <w:r w:rsidRPr="00722DAC">
        <w:t>Not applicable.</w:t>
      </w:r>
    </w:p>
    <w:p w:rsidR="00000000" w:rsidRPr="00722DAC" w:rsidP="00722DAC">
      <w:pPr>
        <w:pStyle w:val="Heading1"/>
      </w:pPr>
      <w:bookmarkStart w:id="6" w:name="O_755005"/>
      <w:bookmarkEnd w:id="6"/>
      <w:r w:rsidRPr="00722D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Performance criteria describe the performance needed to demonstrate achievement of the element.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rPr>
                <w:rStyle w:val="SpecialBold"/>
              </w:rPr>
              <w:t>Identify configuration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Sources of information relevant to configuration management are identified and obtained in accordance wit</w:t>
            </w:r>
            <w:r w:rsidRPr="00722DAC">
              <w:t>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Currency of information is reviewed and documented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requirements are defined and documented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rPr>
                <w:rStyle w:val="SpecialBold"/>
              </w:rPr>
              <w:t>Develop configuration management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Consultation with stakeholders is conducted in accordance with o</w:t>
            </w:r>
            <w:r w:rsidRPr="00722DAC">
              <w:t>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processes are developed and recorded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Key performance indicators are developed and documented in accordance with organisationa</w:t>
            </w:r>
            <w:r w:rsidRPr="00722DAC">
              <w:t>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Analysis of configuration management processes is developed and documented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rPr>
                <w:rStyle w:val="SpecialBold"/>
              </w:rPr>
              <w:t>Apply configuration management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risks and impacts are identified, recorded and managed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procedures are applied in accordance with legislative requirements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processes are carried out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Failures and variances are documented, reported and managed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Participation and c</w:t>
            </w:r>
            <w:r w:rsidRPr="00722DAC">
              <w:t>ontribution to configuration management processes are established and maintained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rPr>
                <w:rStyle w:val="SpecialBold"/>
              </w:rPr>
              <w:t>Review configuration management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Performance systems and processes are monitored and analysed to assess progress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Systems, procedures and records associated with documenting performance are managed in accordance with organisational requirements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Configuration management processes are reviewed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Changes required are identified and prepared in accordance with organisational policy and procedures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t>Amendments to configuration management processes are incorporated into plans and promulgated to relevant stakeholders in accordance with organisatio</w:t>
            </w:r>
            <w:r w:rsidRPr="00722DAC">
              <w:t>nal policy and procedures</w:t>
            </w:r>
          </w:p>
        </w:tc>
      </w:tr>
    </w:tbl>
    <w:p w:rsidR="00D74527" w:rsidP="00722DAC">
      <w:pPr>
        <w:pStyle w:val="BodyText"/>
      </w:pPr>
    </w:p>
    <w:p w:rsidR="00D74527" w:rsidP="00722DAC">
      <w:pPr>
        <w:pStyle w:val="BodyText"/>
      </w:pPr>
    </w:p>
    <w:p w:rsidR="00000000" w:rsidRPr="00722DAC" w:rsidP="00722DAC">
      <w:pPr>
        <w:pStyle w:val="Heading1"/>
      </w:pPr>
      <w:bookmarkStart w:id="7" w:name="O_755006"/>
      <w:bookmarkEnd w:id="7"/>
      <w:r w:rsidRPr="00722DAC">
        <w:t>Foundation Skills</w:t>
      </w:r>
    </w:p>
    <w:p w:rsidR="00D74527" w:rsidP="00D74527">
      <w:pPr>
        <w:pStyle w:val="BodyText"/>
      </w:pPr>
      <w:r w:rsidRPr="00722DAC">
        <w:t>Foundation skills essential to performance are explicit in the performance criteria of this unit of competency.</w:t>
      </w:r>
    </w:p>
    <w:p w:rsidR="00000000" w:rsidRPr="00722DAC" w:rsidP="00722DAC">
      <w:pPr>
        <w:pStyle w:val="Heading1"/>
      </w:pPr>
      <w:bookmarkStart w:id="8" w:name="O_755007"/>
      <w:bookmarkEnd w:id="8"/>
      <w:r w:rsidRPr="00722DA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t>Range is restricted to essential operating</w:t>
            </w:r>
            <w:r w:rsidRPr="00722DAC">
              <w:t xml:space="preserve"> conditions and any other variables essential to the work environment.</w:t>
            </w:r>
          </w:p>
          <w:p w:rsidR="00000000" w:rsidRPr="00722DAC" w:rsidP="00722DAC">
            <w:pPr>
              <w:pStyle w:val="BodyText"/>
            </w:pPr>
            <w:r w:rsidRPr="00722DAC">
              <w:t>Non-essential conditions can be found in the Companion Volume Implementation Guide.</w:t>
            </w:r>
          </w:p>
        </w:tc>
      </w:tr>
    </w:tbl>
    <w:p w:rsidR="00D74527" w:rsidP="00722DAC">
      <w:pPr>
        <w:pStyle w:val="BodyText"/>
      </w:pPr>
    </w:p>
    <w:p w:rsidR="00D74527" w:rsidP="00722DAC">
      <w:pPr>
        <w:pStyle w:val="BodyText"/>
      </w:pPr>
    </w:p>
    <w:p w:rsidR="00000000" w:rsidRPr="00722DAC" w:rsidP="00722DAC">
      <w:pPr>
        <w:pStyle w:val="Heading1"/>
      </w:pPr>
      <w:bookmarkStart w:id="9" w:name="O_755008"/>
      <w:bookmarkEnd w:id="9"/>
      <w:r w:rsidRPr="00722DAC">
        <w:t>Unit Mapping Information</w:t>
      </w:r>
    </w:p>
    <w:p w:rsidR="00D74527" w:rsidP="00D74527">
      <w:pPr>
        <w:pStyle w:val="BodyText"/>
      </w:pPr>
      <w:r w:rsidRPr="00722DAC">
        <w:t>This unit replaces and is equivalent to TLIX5021A Manage configuration management processes.</w:t>
      </w:r>
    </w:p>
    <w:p w:rsidR="00000000" w:rsidRPr="00722DAC" w:rsidP="00722DAC">
      <w:pPr>
        <w:pStyle w:val="Heading1"/>
      </w:pPr>
      <w:bookmarkStart w:id="10" w:name="O_755015"/>
      <w:bookmarkEnd w:id="10"/>
      <w:r w:rsidRPr="00722DAC">
        <w:t>Links</w:t>
      </w:r>
    </w:p>
    <w:p w:rsidR="00000000" w:rsidRPr="00722DAC" w:rsidP="00D74527">
      <w:pPr>
        <w:pStyle w:val="BodyText"/>
      </w:pPr>
      <w:r w:rsidRPr="00722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87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2DAC" w:rsidP="00D74527">
      <w:pPr>
        <w:pStyle w:val="BodyText"/>
        <w:sectPr w:rsidSect="00722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DAC" w:rsidP="00722DAC">
      <w:pPr>
        <w:pStyle w:val="SuperHeading"/>
      </w:pPr>
      <w:r w:rsidRPr="00722DAC">
        <w:t>Assessment Requirements for TLIX5021 Manage configuration management processes</w:t>
      </w:r>
    </w:p>
    <w:p w:rsidR="00000000" w:rsidRPr="00722DAC" w:rsidP="00722DAC">
      <w:pPr>
        <w:pStyle w:val="Heading1"/>
      </w:pPr>
      <w:bookmarkStart w:id="11" w:name="O_755010"/>
      <w:bookmarkEnd w:id="11"/>
      <w:r w:rsidRPr="00722DAC">
        <w:t>Modification History</w:t>
      </w:r>
    </w:p>
    <w:p w:rsidR="00D74527" w:rsidP="00D74527">
      <w:pPr>
        <w:pStyle w:val="BodyText"/>
      </w:pPr>
      <w:r w:rsidRPr="00722DAC">
        <w:t>Release 1. This is the first release of this unit of competency in the TLI Transport and Logistics Training Package.</w:t>
      </w:r>
    </w:p>
    <w:p w:rsidR="00000000" w:rsidRPr="00722DAC" w:rsidP="00722DAC">
      <w:pPr>
        <w:pStyle w:val="Heading1"/>
      </w:pPr>
      <w:bookmarkStart w:id="12" w:name="O_755011"/>
      <w:bookmarkEnd w:id="12"/>
      <w:r w:rsidRPr="00722DA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 xml:space="preserve">Evidence required to demonstrate competence in this unit must be relevant to and satisfy all of the </w:t>
            </w:r>
            <w:r w:rsidRPr="00722DAC">
              <w:t>requirements of the elements and performance criteria on at least one occasion and include: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ListBullet"/>
            </w:pPr>
            <w:r w:rsidRPr="00722DAC">
              <w:t>adhering to relevant work health and safety (WHS)/occupational health and safety (OHS) requirements</w:t>
            </w:r>
          </w:p>
          <w:p w:rsidR="00000000" w:rsidRPr="00722DAC" w:rsidP="00722DAC">
            <w:pPr>
              <w:pStyle w:val="ListBullet"/>
            </w:pPr>
            <w:r w:rsidRPr="00722DAC">
              <w:t xml:space="preserve">applying configuration management and project management </w:t>
            </w:r>
            <w:r w:rsidRPr="00722DAC">
              <w:t>knowledge relevant to configuration management processes</w:t>
            </w:r>
          </w:p>
          <w:p w:rsidR="00000000" w:rsidRPr="00722DAC" w:rsidP="00722DAC">
            <w:pPr>
              <w:pStyle w:val="ListBullet"/>
            </w:pPr>
            <w:r w:rsidRPr="00722DAC">
              <w:t>displaying resilience by continuing to move forward despite criticism or setbacks</w:t>
            </w:r>
          </w:p>
          <w:p w:rsidR="00000000" w:rsidRPr="00722DAC" w:rsidP="00722DAC">
            <w:pPr>
              <w:pStyle w:val="ListBullet"/>
            </w:pPr>
            <w:r w:rsidRPr="00722DAC">
              <w:t>focusing on clearly communicating configuration management processes, presenting information confidently and selectin</w:t>
            </w:r>
            <w:r w:rsidRPr="00722DAC">
              <w:t>g appropriate medium for communication to a range of audiences</w:t>
            </w:r>
          </w:p>
          <w:p w:rsidR="00000000" w:rsidRPr="00722DAC" w:rsidP="00722DAC">
            <w:pPr>
              <w:pStyle w:val="ListBullet"/>
            </w:pPr>
            <w:r w:rsidRPr="00722DAC">
              <w:t>identifying and establishing configuration management operation processes</w:t>
            </w:r>
          </w:p>
          <w:p w:rsidR="00000000" w:rsidRPr="00722DAC" w:rsidP="00722DAC">
            <w:pPr>
              <w:pStyle w:val="ListBullet"/>
            </w:pPr>
            <w:r w:rsidRPr="00722DAC">
              <w:t>identifying, acquiring and adjusting resources as required to ensure effective/efficient performance of processes</w:t>
            </w:r>
          </w:p>
          <w:p w:rsidR="00000000" w:rsidRPr="00722DAC" w:rsidP="00722DAC">
            <w:pPr>
              <w:pStyle w:val="ListBullet"/>
            </w:pPr>
            <w:r w:rsidRPr="00722DAC">
              <w:t>ident</w:t>
            </w:r>
            <w:r w:rsidRPr="00722DAC">
              <w:t>ifying, reviewing and analysing information that may impact on configuration management processes, or may be impacted by configuration management processes</w:t>
            </w:r>
          </w:p>
          <w:p w:rsidR="00000000" w:rsidRPr="00722DAC" w:rsidP="00722DAC">
            <w:pPr>
              <w:pStyle w:val="ListBullet"/>
            </w:pPr>
            <w:r w:rsidRPr="00722DAC">
              <w:t>initiating and efficiently monitoring processes</w:t>
            </w:r>
          </w:p>
          <w:p w:rsidR="00000000" w:rsidRPr="00722DAC" w:rsidP="00722DAC">
            <w:pPr>
              <w:pStyle w:val="ListBullet"/>
            </w:pPr>
            <w:r w:rsidRPr="00722DAC">
              <w:t>initiating any remedial action required</w:t>
            </w:r>
          </w:p>
          <w:p w:rsidR="00000000" w:rsidRPr="00722DAC" w:rsidP="00722DAC">
            <w:pPr>
              <w:pStyle w:val="ListBullet"/>
            </w:pPr>
            <w:r w:rsidRPr="00722DAC">
              <w:t>managing con</w:t>
            </w:r>
            <w:r w:rsidRPr="00722DAC">
              <w:t>figuration management processes effectively and efficiently</w:t>
            </w:r>
          </w:p>
          <w:p w:rsidR="00000000" w:rsidRPr="00722DAC" w:rsidP="00722DAC">
            <w:pPr>
              <w:pStyle w:val="ListBullet"/>
            </w:pPr>
            <w:r w:rsidRPr="00722DAC">
              <w:t>negotiating and communicating effectively with key internal and external stakeholders and resolving potential areas of conflict or concern to ensure overall configuration management objectives are</w:t>
            </w:r>
            <w:r w:rsidRPr="00722DAC">
              <w:t xml:space="preserve"> achieved</w:t>
            </w:r>
          </w:p>
          <w:p w:rsidR="00000000" w:rsidRPr="00722DAC" w:rsidP="00722DAC">
            <w:pPr>
              <w:pStyle w:val="ListBullet"/>
            </w:pPr>
            <w:r w:rsidRPr="00722DAC">
              <w:t>undertaking research and analysis to identify and develop configuration management processes</w:t>
            </w:r>
          </w:p>
          <w:p w:rsidR="00000000" w:rsidRPr="00722DAC" w:rsidP="00722DAC">
            <w:pPr>
              <w:pStyle w:val="ListBullet"/>
            </w:pPr>
            <w:r w:rsidRPr="00722DAC">
              <w:t>using appropriate information technology and software for configuration management processes</w:t>
            </w:r>
          </w:p>
          <w:p w:rsidR="00000000" w:rsidRPr="00722DAC" w:rsidP="00722DAC">
            <w:pPr>
              <w:pStyle w:val="ListBullet"/>
            </w:pPr>
            <w:r w:rsidRPr="00722DAC">
              <w:t>using organisational strategic objectives to identify and as</w:t>
            </w:r>
            <w:r w:rsidRPr="00722DAC">
              <w:t>sess potential alliances and effective strategies.</w:t>
            </w:r>
          </w:p>
        </w:tc>
      </w:tr>
    </w:tbl>
    <w:p w:rsidR="00000000" w:rsidRPr="00722DAC" w:rsidP="00722DAC">
      <w:pPr>
        <w:pStyle w:val="BodyText"/>
      </w:pPr>
    </w:p>
    <w:p w:rsidR="00000000" w:rsidRPr="00722DAC" w:rsidP="00722DAC">
      <w:pPr>
        <w:pStyle w:val="AllowPageBreak"/>
      </w:pPr>
    </w:p>
    <w:p w:rsidR="00000000" w:rsidRPr="00722DAC" w:rsidP="00722DAC">
      <w:pPr>
        <w:pStyle w:val="Heading1"/>
      </w:pPr>
      <w:bookmarkStart w:id="13" w:name="O_755012"/>
      <w:bookmarkEnd w:id="13"/>
      <w:r w:rsidRPr="00722DA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AC">
            <w:pPr>
              <w:pStyle w:val="BodyText"/>
              <w:rPr>
                <w:lang w:val="en-NZ"/>
              </w:rPr>
            </w:pPr>
            <w:r w:rsidRPr="00722DAC">
              <w:t xml:space="preserve">Evidence required to demonstrate competence in this unit must be relevant to and satisfy all of the requirements of the elements and performance criteria and </w:t>
            </w:r>
            <w:r w:rsidRPr="00722DAC">
              <w:t>include knowledge of:</w:t>
            </w:r>
          </w:p>
        </w:tc>
      </w:tr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ListBullet"/>
            </w:pPr>
            <w:r w:rsidRPr="00722DAC">
              <w:t>codification and cataloguing processes</w:t>
            </w:r>
          </w:p>
          <w:p w:rsidR="00000000" w:rsidRPr="00722DAC" w:rsidP="00722DAC">
            <w:pPr>
              <w:pStyle w:val="ListBullet"/>
            </w:pPr>
            <w:r w:rsidRPr="00722DAC">
              <w:t>configuration management principles and processes</w:t>
            </w:r>
          </w:p>
          <w:p w:rsidR="00000000" w:rsidRPr="00722DAC" w:rsidP="00722DAC">
            <w:pPr>
              <w:pStyle w:val="ListBullet"/>
            </w:pPr>
            <w:r w:rsidRPr="00722DAC">
              <w:t>industrial base capability</w:t>
            </w:r>
          </w:p>
          <w:p w:rsidR="00000000" w:rsidRPr="00722DAC" w:rsidP="00722DAC">
            <w:pPr>
              <w:pStyle w:val="ListBullet"/>
            </w:pPr>
            <w:r w:rsidRPr="00722DAC">
              <w:t xml:space="preserve">legislative and regulatory environment, including relevant environmental and sustainability issues </w:t>
            </w:r>
          </w:p>
          <w:p w:rsidR="00000000" w:rsidRPr="00722DAC" w:rsidP="00722DAC">
            <w:pPr>
              <w:pStyle w:val="ListBullet"/>
            </w:pPr>
            <w:r w:rsidRPr="00722DAC">
              <w:t>logistics governance</w:t>
            </w:r>
          </w:p>
          <w:p w:rsidR="00000000" w:rsidRPr="00722DAC" w:rsidP="00722DAC">
            <w:pPr>
              <w:pStyle w:val="ListBullet"/>
            </w:pPr>
            <w:r w:rsidRPr="00722DAC">
              <w:t>management processes</w:t>
            </w:r>
          </w:p>
          <w:p w:rsidR="00000000" w:rsidRPr="00722DAC" w:rsidP="00722DAC">
            <w:pPr>
              <w:pStyle w:val="ListBullet"/>
            </w:pPr>
            <w:r w:rsidRPr="00722DAC">
              <w:t>organisational policy and procedures</w:t>
            </w:r>
          </w:p>
          <w:p w:rsidR="00000000" w:rsidRPr="00722DAC" w:rsidP="00722DAC">
            <w:pPr>
              <w:pStyle w:val="ListBullet"/>
            </w:pPr>
            <w:r w:rsidRPr="00722DAC">
              <w:t>organisational role relevant to configuration management</w:t>
            </w:r>
          </w:p>
          <w:p w:rsidR="00000000" w:rsidRPr="00722DAC" w:rsidP="00722DAC">
            <w:pPr>
              <w:pStyle w:val="ListBullet"/>
            </w:pPr>
            <w:r w:rsidRPr="00722DAC">
              <w:t>product knowledge related to systems and/or equipment in service in the organisation</w:t>
            </w:r>
          </w:p>
          <w:p w:rsidR="00000000" w:rsidRPr="00722DAC" w:rsidP="00722DAC">
            <w:pPr>
              <w:pStyle w:val="ListBullet"/>
            </w:pPr>
            <w:r w:rsidRPr="00722DAC">
              <w:t>safety, legislative and statutory r</w:t>
            </w:r>
            <w:r w:rsidRPr="00722DAC">
              <w:t>equirements, including relevant environmental and sustainability issues.</w:t>
            </w:r>
          </w:p>
        </w:tc>
      </w:tr>
    </w:tbl>
    <w:p w:rsidR="00000000" w:rsidRPr="00722DAC" w:rsidP="00722DAC">
      <w:pPr>
        <w:pStyle w:val="BodyText"/>
      </w:pPr>
    </w:p>
    <w:p w:rsidR="00000000" w:rsidRPr="00722DAC" w:rsidP="00722DAC">
      <w:pPr>
        <w:pStyle w:val="AllowPageBreak"/>
      </w:pPr>
    </w:p>
    <w:p w:rsidR="00000000" w:rsidRPr="00722DAC" w:rsidP="00722DAC">
      <w:pPr>
        <w:pStyle w:val="Heading1"/>
      </w:pPr>
      <w:bookmarkStart w:id="14" w:name="O_755013"/>
      <w:bookmarkEnd w:id="14"/>
      <w:r w:rsidRPr="00722DA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4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AC" w:rsidP="00722DAC">
            <w:pPr>
              <w:pStyle w:val="BodyText"/>
            </w:pPr>
            <w:r w:rsidRPr="00722DAC">
              <w:t xml:space="preserve">As a minimum, assessors must satisfy applicable regulatory requirements, which include requirements in the </w:t>
            </w:r>
            <w:r w:rsidRPr="00722DAC">
              <w:rPr>
                <w:rStyle w:val="Emphasis"/>
              </w:rPr>
              <w:t>Standards for Registered Training O</w:t>
            </w:r>
            <w:r w:rsidRPr="00722DAC">
              <w:rPr>
                <w:rStyle w:val="Emphasis"/>
              </w:rPr>
              <w:t>rganisations</w:t>
            </w:r>
            <w:r w:rsidRPr="00722DAC">
              <w:t xml:space="preserve"> current at the time of assessment. </w:t>
            </w:r>
          </w:p>
          <w:p w:rsidR="00000000" w:rsidRPr="00722DAC" w:rsidP="00722DAC">
            <w:pPr>
              <w:pStyle w:val="BodyText"/>
            </w:pPr>
            <w:r w:rsidRPr="00722DAC">
              <w:t xml:space="preserve">As a minimum, assessment must satisfy applicable regulatory requirements, which include requirements in the </w:t>
            </w:r>
            <w:r w:rsidRPr="00722DAC">
              <w:rPr>
                <w:rStyle w:val="Emphasis"/>
              </w:rPr>
              <w:t>Standards for Registered Training Organisations</w:t>
            </w:r>
            <w:r w:rsidRPr="00722DAC">
              <w:t xml:space="preserve"> current at the time of assessment.</w:t>
            </w:r>
          </w:p>
          <w:p w:rsidR="00000000" w:rsidRPr="00722DAC" w:rsidP="00722DAC">
            <w:pPr>
              <w:pStyle w:val="BodyText"/>
            </w:pPr>
            <w:r w:rsidRPr="00722DAC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722DAC" w:rsidP="00722DAC">
            <w:pPr>
              <w:pStyle w:val="BodyText"/>
            </w:pPr>
            <w:r w:rsidRPr="00722DAC">
              <w:t>Assessment processes and te</w:t>
            </w:r>
            <w:r w:rsidRPr="00722DAC">
              <w:t>chniques must be appropriate to the language, literacy and numeracy requirements of the work being performed and the needs of the candidate.</w:t>
            </w:r>
          </w:p>
          <w:p w:rsidR="00000000" w:rsidRPr="00722DAC" w:rsidP="00722DAC">
            <w:pPr>
              <w:pStyle w:val="BodyText"/>
            </w:pPr>
            <w:r w:rsidRPr="00722DAC">
              <w:t>Resources for assessment include:</w:t>
            </w:r>
          </w:p>
          <w:p w:rsidR="00000000" w:rsidRPr="00722DAC" w:rsidP="00722DAC">
            <w:pPr>
              <w:pStyle w:val="ListBullet"/>
            </w:pPr>
            <w:r w:rsidRPr="00722DAC">
              <w:t>a range of relevant exercises, case studies and/or simulations</w:t>
            </w:r>
          </w:p>
          <w:p w:rsidR="00000000" w:rsidRPr="00722DAC" w:rsidP="00722DAC">
            <w:pPr>
              <w:pStyle w:val="ListBullet"/>
            </w:pPr>
            <w:r w:rsidRPr="00722DAC">
              <w:t>relevant and appr</w:t>
            </w:r>
            <w:r w:rsidRPr="00722DAC">
              <w:t xml:space="preserve">opriate materials, tools, equipment and personal protective equipment currently used in industry </w:t>
            </w:r>
          </w:p>
          <w:p w:rsidR="00000000" w:rsidRPr="00722DAC" w:rsidP="00722DAC">
            <w:pPr>
              <w:pStyle w:val="ListBullet"/>
            </w:pPr>
            <w:r w:rsidRPr="00722DAC">
              <w:t>applicable documentation including workplace procedures, regulations, codes of practice and operation manuals</w:t>
            </w:r>
          </w:p>
          <w:p w:rsidR="00000000" w:rsidRPr="00722DAC" w:rsidP="00722DAC">
            <w:pPr>
              <w:pStyle w:val="ListBullet"/>
            </w:pPr>
            <w:r w:rsidRPr="00722DAC">
              <w:t>computer and relevant software</w:t>
            </w:r>
          </w:p>
          <w:p w:rsidR="00000000" w:rsidRPr="00722DAC" w:rsidP="00722DAC">
            <w:pPr>
              <w:pStyle w:val="ListBullet"/>
            </w:pPr>
            <w:r w:rsidRPr="00722DAC">
              <w:t>legislation, guid</w:t>
            </w:r>
            <w:r w:rsidRPr="00722DAC">
              <w:t>elines, procedures and protocols relating to configuration management</w:t>
            </w:r>
          </w:p>
          <w:p w:rsidR="00000000" w:rsidRPr="00722DAC" w:rsidP="00722DAC">
            <w:pPr>
              <w:pStyle w:val="ListBullet"/>
            </w:pPr>
            <w:r w:rsidRPr="00722DAC">
              <w:t>configuration management plans.</w:t>
            </w:r>
          </w:p>
        </w:tc>
      </w:tr>
    </w:tbl>
    <w:p w:rsidR="00000000" w:rsidRPr="00722DAC" w:rsidP="00722DAC">
      <w:pPr>
        <w:pStyle w:val="BodyText"/>
      </w:pPr>
    </w:p>
    <w:p w:rsidR="00000000" w:rsidRPr="00722DAC" w:rsidP="00722DAC">
      <w:pPr>
        <w:pStyle w:val="AllowPageBreak"/>
      </w:pPr>
    </w:p>
    <w:p w:rsidR="00000000" w:rsidRPr="00722DAC" w:rsidP="00722DAC">
      <w:pPr>
        <w:pStyle w:val="Heading1"/>
      </w:pPr>
      <w:bookmarkStart w:id="15" w:name="O_755016"/>
      <w:bookmarkEnd w:id="15"/>
      <w:r w:rsidRPr="00722DAC">
        <w:t>Links</w:t>
      </w:r>
    </w:p>
    <w:p w:rsidR="00000000" w:rsidRPr="00722DAC" w:rsidP="00D74527">
      <w:pPr>
        <w:pStyle w:val="BodyText"/>
      </w:pPr>
      <w:r w:rsidRPr="00722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87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2DAC" w:rsidP="00722DAC"/>
    <w:sectPr w:rsidSect="00722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 w:rsidRPr="00D74527" w:rsidP="00D74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7" w:rsidP="0072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527" w:rsidP="0072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4527" w:rsidP="00722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 w:rsidP="0072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4527">
      <w:t>Approved</w:t>
    </w:r>
    <w:r w:rsidR="00D745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45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4527">
      <w:rPr>
        <w:noProof/>
      </w:rPr>
      <w:t>4</w:t>
    </w:r>
    <w:r>
      <w:rPr>
        <w:noProof/>
      </w:rPr>
      <w:fldChar w:fldCharType="end"/>
    </w:r>
  </w:p>
  <w:p w:rsidR="00722DAC" w:rsidP="0072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45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4527">
      <w:t>Industry Skills Australia</w:t>
    </w:r>
    <w:r w:rsidR="00D74527">
      <w:fldChar w:fldCharType="end"/>
    </w:r>
  </w:p>
  <w:p w:rsidR="00722DAC" w:rsidP="00722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DAC" w:rsidRPr="00D74527" w:rsidP="00D74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7" w:rsidRPr="002D2AF8" w:rsidP="0072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TLIX5021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4527" w:rsidP="00722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AC" w:rsidRPr="002D2AF8" w:rsidP="0072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4527">
      <w:t>TLIX5021 Manage configuration management processes</w:t>
    </w:r>
    <w:r w:rsidR="00D745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4527">
      <w:rPr>
        <w:noProof/>
      </w:rPr>
      <w:t>2 March 2025</w:t>
    </w:r>
    <w:r>
      <w:fldChar w:fldCharType="end"/>
    </w:r>
  </w:p>
  <w:p w:rsidR="00722DAC" w:rsidP="00722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40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63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DAC"/>
  </w:style>
  <w:style w:type="character" w:customStyle="1" w:styleId="Heading1Char">
    <w:name w:val="Heading 1 Char"/>
    <w:basedOn w:val="DefaultParagraphFont"/>
    <w:link w:val="Heading1"/>
    <w:rsid w:val="00722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D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DAC"/>
    <w:rPr>
      <w:b/>
      <w:spacing w:val="0"/>
    </w:rPr>
  </w:style>
  <w:style w:type="character" w:styleId="Emphasis">
    <w:name w:val="Emphasis"/>
    <w:basedOn w:val="DefaultParagraphFont"/>
    <w:qFormat/>
    <w:rsid w:val="00722DAC"/>
    <w:rPr>
      <w:i/>
    </w:rPr>
  </w:style>
  <w:style w:type="paragraph" w:customStyle="1" w:styleId="SuperHeading">
    <w:name w:val="SuperHeading"/>
    <w:basedOn w:val="Normal"/>
    <w:rsid w:val="00722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DAC"/>
  </w:style>
  <w:style w:type="paragraph" w:styleId="TableofFigures">
    <w:name w:val="table of figures"/>
    <w:basedOn w:val="Normal"/>
    <w:next w:val="Normal"/>
    <w:semiHidden/>
    <w:rsid w:val="00722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D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DAC"/>
    <w:rPr>
      <w:rFonts w:ascii="Wingdings" w:hAnsi="Wingdings"/>
    </w:rPr>
  </w:style>
  <w:style w:type="paragraph" w:customStyle="1" w:styleId="TableHeading">
    <w:name w:val="Table Heading"/>
    <w:basedOn w:val="HeadingBase"/>
    <w:rsid w:val="00722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DAC"/>
    <w:rPr>
      <w:color w:val="0033CC"/>
      <w:u w:val="none"/>
    </w:rPr>
  </w:style>
  <w:style w:type="paragraph" w:customStyle="1" w:styleId="BodyTextRight">
    <w:name w:val="Body Text Right"/>
    <w:basedOn w:val="BodyText"/>
    <w:rsid w:val="00722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D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DAC"/>
    <w:rPr>
      <w:sz w:val="32"/>
    </w:rPr>
  </w:style>
  <w:style w:type="paragraph" w:customStyle="1" w:styleId="HeadingProcedure">
    <w:name w:val="Heading Procedure"/>
    <w:basedOn w:val="HeadingBase"/>
    <w:next w:val="Normal"/>
    <w:rsid w:val="00722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DAC"/>
    <w:pPr>
      <w:spacing w:before="60" w:after="60"/>
    </w:pPr>
  </w:style>
  <w:style w:type="paragraph" w:styleId="ListContinue">
    <w:name w:val="List Continue"/>
    <w:basedOn w:val="List"/>
    <w:rsid w:val="00722DAC"/>
    <w:pPr>
      <w:ind w:firstLine="0"/>
    </w:pPr>
  </w:style>
  <w:style w:type="paragraph" w:customStyle="1" w:styleId="ListNote">
    <w:name w:val="List Note"/>
    <w:basedOn w:val="List"/>
    <w:rsid w:val="00722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DAC"/>
    <w:rPr>
      <w:rFonts w:ascii="Courier New" w:hAnsi="Courier New"/>
    </w:rPr>
  </w:style>
  <w:style w:type="paragraph" w:customStyle="1" w:styleId="NoteBullet">
    <w:name w:val="Note Bullet"/>
    <w:basedOn w:val="Note"/>
    <w:rsid w:val="00722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DAC"/>
    <w:rPr>
      <w:b/>
      <w:smallCaps/>
    </w:rPr>
  </w:style>
  <w:style w:type="paragraph" w:customStyle="1" w:styleId="TableListNumber">
    <w:name w:val="Table List Number"/>
    <w:basedOn w:val="ListNumber"/>
    <w:rsid w:val="00722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DAC"/>
    <w:pPr>
      <w:numPr>
        <w:numId w:val="8"/>
      </w:numPr>
    </w:pPr>
  </w:style>
  <w:style w:type="paragraph" w:customStyle="1" w:styleId="ListAlpha2">
    <w:name w:val="List Alpha 2"/>
    <w:basedOn w:val="List2"/>
    <w:rsid w:val="00722DAC"/>
    <w:pPr>
      <w:numPr>
        <w:numId w:val="7"/>
      </w:numPr>
    </w:pPr>
  </w:style>
  <w:style w:type="paragraph" w:styleId="List2">
    <w:name w:val="List 2"/>
    <w:basedOn w:val="BodyText"/>
    <w:rsid w:val="00722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D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DAC"/>
    <w:pPr>
      <w:numPr>
        <w:numId w:val="3"/>
      </w:numPr>
    </w:pPr>
  </w:style>
  <w:style w:type="paragraph" w:styleId="ListContinue2">
    <w:name w:val="List Continue 2"/>
    <w:basedOn w:val="List2"/>
    <w:rsid w:val="00722DAC"/>
    <w:pPr>
      <w:ind w:firstLine="0"/>
    </w:pPr>
  </w:style>
  <w:style w:type="paragraph" w:styleId="ListContinue3">
    <w:name w:val="List Continue 3"/>
    <w:basedOn w:val="List3"/>
    <w:rsid w:val="00722DAC"/>
    <w:pPr>
      <w:ind w:left="1021" w:firstLine="0"/>
    </w:pPr>
  </w:style>
  <w:style w:type="paragraph" w:styleId="ListContinue4">
    <w:name w:val="List Continue 4"/>
    <w:basedOn w:val="List4"/>
    <w:rsid w:val="00722DAC"/>
    <w:pPr>
      <w:ind w:firstLine="0"/>
    </w:pPr>
  </w:style>
  <w:style w:type="paragraph" w:styleId="ListContinue5">
    <w:name w:val="List Continue 5"/>
    <w:basedOn w:val="List5"/>
    <w:rsid w:val="00722DAC"/>
    <w:pPr>
      <w:ind w:firstLine="0"/>
    </w:pPr>
  </w:style>
  <w:style w:type="paragraph" w:styleId="ListNumber3">
    <w:name w:val="List Number 3"/>
    <w:basedOn w:val="List3"/>
    <w:rsid w:val="00722DAC"/>
    <w:pPr>
      <w:numPr>
        <w:numId w:val="4"/>
      </w:numPr>
    </w:pPr>
  </w:style>
  <w:style w:type="paragraph" w:styleId="ListNumber4">
    <w:name w:val="List Number 4"/>
    <w:basedOn w:val="List4"/>
    <w:rsid w:val="00722DAC"/>
    <w:pPr>
      <w:numPr>
        <w:numId w:val="5"/>
      </w:numPr>
    </w:pPr>
  </w:style>
  <w:style w:type="paragraph" w:styleId="ListNumber5">
    <w:name w:val="List Number 5"/>
    <w:basedOn w:val="List5"/>
    <w:rsid w:val="00722DAC"/>
    <w:pPr>
      <w:numPr>
        <w:numId w:val="6"/>
      </w:numPr>
    </w:pPr>
  </w:style>
  <w:style w:type="paragraph" w:styleId="BlockText">
    <w:name w:val="Block Text"/>
    <w:basedOn w:val="Normal"/>
    <w:rsid w:val="00722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DAC"/>
    <w:rPr>
      <w:sz w:val="16"/>
      <w:vertAlign w:val="superscript"/>
    </w:rPr>
  </w:style>
  <w:style w:type="character" w:customStyle="1" w:styleId="Symbols">
    <w:name w:val="Symbols"/>
    <w:basedOn w:val="DefaultParagraphFont"/>
    <w:rsid w:val="00722DAC"/>
    <w:rPr>
      <w:rFonts w:ascii="Symbol" w:hAnsi="Symbol"/>
    </w:rPr>
  </w:style>
  <w:style w:type="character" w:customStyle="1" w:styleId="MenuOptions">
    <w:name w:val="Menu Options"/>
    <w:basedOn w:val="DefaultParagraphFont"/>
    <w:rsid w:val="00722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DAC"/>
    <w:rPr>
      <w:b/>
    </w:rPr>
  </w:style>
  <w:style w:type="character" w:customStyle="1" w:styleId="Underlined">
    <w:name w:val="Underlined"/>
    <w:basedOn w:val="DefaultParagraphFont"/>
    <w:rsid w:val="00722DAC"/>
    <w:rPr>
      <w:u w:val="single"/>
    </w:rPr>
  </w:style>
  <w:style w:type="paragraph" w:customStyle="1" w:styleId="TableBodyTextRight">
    <w:name w:val="Table Body Text Right"/>
    <w:basedOn w:val="TableBodyText"/>
    <w:rsid w:val="00722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DAC"/>
    <w:rPr>
      <w:sz w:val="18"/>
    </w:rPr>
  </w:style>
  <w:style w:type="paragraph" w:customStyle="1" w:styleId="BodySmallRight">
    <w:name w:val="Body Small Right"/>
    <w:basedOn w:val="BodyTextRight"/>
    <w:rsid w:val="00722DAC"/>
    <w:rPr>
      <w:sz w:val="18"/>
      <w:szCs w:val="18"/>
    </w:rPr>
  </w:style>
  <w:style w:type="paragraph" w:customStyle="1" w:styleId="MarginEdition">
    <w:name w:val="Margin Edition"/>
    <w:basedOn w:val="MarginNote"/>
    <w:rsid w:val="00722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DAC"/>
    <w:rPr>
      <w:sz w:val="2"/>
      <w:szCs w:val="2"/>
    </w:rPr>
  </w:style>
  <w:style w:type="character" w:customStyle="1" w:styleId="Small">
    <w:name w:val="Small"/>
    <w:basedOn w:val="DefaultParagraphFont"/>
    <w:rsid w:val="00722DAC"/>
    <w:rPr>
      <w:sz w:val="16"/>
    </w:rPr>
  </w:style>
  <w:style w:type="paragraph" w:customStyle="1" w:styleId="WideTable">
    <w:name w:val="Wide Table"/>
    <w:basedOn w:val="Normal"/>
    <w:rsid w:val="00722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DAC"/>
  </w:style>
  <w:style w:type="paragraph" w:styleId="Quote">
    <w:name w:val="Quote"/>
    <w:basedOn w:val="Heading1"/>
    <w:link w:val="QuoteChar"/>
    <w:qFormat/>
    <w:rsid w:val="00722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DAC"/>
    <w:pPr>
      <w:pageBreakBefore/>
    </w:pPr>
  </w:style>
  <w:style w:type="paragraph" w:customStyle="1" w:styleId="Border">
    <w:name w:val="Border"/>
    <w:basedOn w:val="Normal"/>
    <w:qFormat/>
    <w:rsid w:val="00722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DAC"/>
    <w:rPr>
      <w:u w:val="single"/>
    </w:rPr>
  </w:style>
  <w:style w:type="character" w:customStyle="1" w:styleId="BoldandItalics">
    <w:name w:val="Bold and Italics"/>
    <w:qFormat/>
    <w:rsid w:val="00722DAC"/>
    <w:rPr>
      <w:b/>
      <w:i/>
      <w:u w:val="none"/>
    </w:rPr>
  </w:style>
  <w:style w:type="paragraph" w:styleId="BalloonText">
    <w:name w:val="Balloon Text"/>
    <w:basedOn w:val="Normal"/>
    <w:link w:val="BalloonTextChar"/>
    <w:rsid w:val="00722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DAC"/>
    <w:pPr>
      <w:spacing w:before="0" w:after="0"/>
    </w:pPr>
  </w:style>
  <w:style w:type="paragraph" w:customStyle="1" w:styleId="BodyTextBold">
    <w:name w:val="Body Text Bold"/>
    <w:basedOn w:val="BodyText"/>
    <w:qFormat/>
    <w:rsid w:val="00722DAC"/>
    <w:rPr>
      <w:b/>
    </w:rPr>
  </w:style>
  <w:style w:type="character" w:styleId="Hyperlink">
    <w:name w:val="Hyperlink"/>
    <w:basedOn w:val="DefaultParagraphFont"/>
    <w:uiPriority w:val="99"/>
    <w:unhideWhenUsed/>
    <w:rsid w:val="00D74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7466</Characters>
  <Application>Microsoft Office Word</Application>
  <DocSecurity>0</DocSecurity>
  <Lines>226</Lines>
  <Paragraphs>135</Paragraphs>
  <ScaleCrop>false</ScaleCrop>
  <Company>Author-it Software Corporation Ltd.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TLIX5021 Manage configuration management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