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8C2" w:rsidP="00AD18C2">
      <w:pPr>
        <w:pStyle w:val="Title"/>
      </w:pPr>
      <w:r>
        <w:fldChar w:fldCharType="begin"/>
      </w:r>
      <w:r>
        <w:instrText xml:space="preserve"> TITLE   \* MERGEFORMAT </w:instrText>
      </w:r>
      <w:r>
        <w:fldChar w:fldCharType="separate"/>
      </w:r>
      <w:r>
        <w:t>TLIX5020 Develop and review configuration management plans</w:t>
      </w:r>
      <w:r>
        <w:fldChar w:fldCharType="end"/>
      </w:r>
    </w:p>
    <w:p w:rsidR="00AD18C2" w:rsidP="00AD18C2">
      <w:pPr>
        <w:pStyle w:val="Version"/>
        <w:sectPr w:rsidSect="00021B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B92" w:rsidP="00021B92">
      <w:pPr>
        <w:pStyle w:val="SuperHeading"/>
      </w:pPr>
      <w:r w:rsidRPr="00021B92">
        <w:t>TLIX5020 Develop and review configuration management plans</w:t>
      </w:r>
    </w:p>
    <w:p w:rsidR="00000000" w:rsidRPr="00021B92" w:rsidP="00021B92">
      <w:pPr>
        <w:pStyle w:val="Heading1"/>
      </w:pPr>
      <w:bookmarkStart w:id="1" w:name="O_754981"/>
      <w:bookmarkEnd w:id="1"/>
      <w:r w:rsidRPr="00021B92">
        <w:t>Modification History</w:t>
      </w:r>
    </w:p>
    <w:p w:rsidR="00AD18C2" w:rsidP="00AD18C2">
      <w:pPr>
        <w:pStyle w:val="BodyText"/>
      </w:pPr>
      <w:r w:rsidRPr="00021B92">
        <w:t>Release 1. This is the first release of this unit of competency in the TLI Transport and Logistics Training Package.</w:t>
      </w:r>
    </w:p>
    <w:p w:rsidR="00000000" w:rsidRPr="00021B92" w:rsidP="00021B92">
      <w:pPr>
        <w:pStyle w:val="Heading1"/>
      </w:pPr>
      <w:bookmarkStart w:id="2" w:name="O_754982"/>
      <w:bookmarkEnd w:id="2"/>
      <w:r w:rsidRPr="00021B92">
        <w:t>Application</w:t>
      </w:r>
    </w:p>
    <w:tbl>
      <w:tblPr>
        <w:tblW w:w="0" w:type="auto"/>
        <w:tblCellMar>
          <w:left w:w="62" w:type="dxa"/>
          <w:right w:w="62" w:type="dxa"/>
        </w:tblCellMar>
        <w:tblLook w:val="0000"/>
      </w:tblPr>
      <w:tblGrid>
        <w:gridCol w:w="9196"/>
      </w:tblGrid>
      <w:tr w:rsidTr="00AD1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t>This unit involves the skills and knowledge required to develop and revi</w:t>
            </w:r>
            <w:r w:rsidRPr="00021B92">
              <w:t xml:space="preserve">ew configuration management plans and associated subordinate plans, to ensure efficient and effective delivery of configuration management across the materiel and materiel system life cycle. </w:t>
            </w:r>
          </w:p>
          <w:p w:rsidR="00000000" w:rsidRPr="00021B92" w:rsidP="00021B92">
            <w:pPr>
              <w:pStyle w:val="BodyText"/>
            </w:pPr>
            <w:r w:rsidRPr="00021B92">
              <w:t>This unit was developed for configuration management specialists</w:t>
            </w:r>
            <w:r w:rsidRPr="00021B92">
              <w:t xml:space="preserve"> working within materiel logistics but is applicable to individuals in broader logistics roles.</w:t>
            </w:r>
          </w:p>
          <w:p w:rsidR="00000000" w:rsidRPr="00021B92" w:rsidP="00021B92">
            <w:pPr>
              <w:pStyle w:val="BodyText"/>
            </w:pPr>
            <w:r w:rsidRPr="00021B92">
              <w:t>Typically these individuals work independently or as part of a team under direct and/or indirect supervision, use discretion and judgement, and take responsibil</w:t>
            </w:r>
            <w:r w:rsidRPr="00021B92">
              <w:t>ity for the quality of their outputs. All activities are carried out in accordance with relevant organisational policy and procedures.</w:t>
            </w:r>
          </w:p>
          <w:p w:rsidR="00000000" w:rsidRPr="00021B92" w:rsidP="00021B92">
            <w:pPr>
              <w:pStyle w:val="BodyText"/>
            </w:pPr>
            <w:r w:rsidRPr="00021B92">
              <w:t>No licensing, legislative or certification requirements apply to this unit at the time of publication.</w:t>
            </w:r>
          </w:p>
        </w:tc>
      </w:tr>
    </w:tbl>
    <w:p w:rsidR="00AD18C2" w:rsidP="00021B92">
      <w:pPr>
        <w:pStyle w:val="BodyText"/>
      </w:pPr>
    </w:p>
    <w:p w:rsidR="00AD18C2" w:rsidP="00021B92">
      <w:pPr>
        <w:pStyle w:val="BodyText"/>
      </w:pPr>
    </w:p>
    <w:p w:rsidR="00000000" w:rsidRPr="00021B92" w:rsidP="00021B92">
      <w:pPr>
        <w:pStyle w:val="Heading1"/>
      </w:pPr>
      <w:bookmarkStart w:id="3" w:name="O_754983"/>
      <w:bookmarkEnd w:id="3"/>
      <w:r w:rsidRPr="00021B92">
        <w:t>Pre-requisite Unit</w:t>
      </w:r>
    </w:p>
    <w:p w:rsidR="00AD18C2" w:rsidP="00AD18C2">
      <w:pPr>
        <w:pStyle w:val="BodyText"/>
      </w:pPr>
      <w:r w:rsidRPr="00021B92">
        <w:t>Not applicable.</w:t>
      </w:r>
    </w:p>
    <w:p w:rsidR="00000000" w:rsidRPr="00021B92" w:rsidP="00021B92">
      <w:pPr>
        <w:pStyle w:val="Heading1"/>
      </w:pPr>
      <w:bookmarkStart w:id="4" w:name="O_754984"/>
      <w:bookmarkEnd w:id="4"/>
      <w:r w:rsidRPr="00021B92">
        <w:t>Competency Field</w:t>
      </w:r>
    </w:p>
    <w:p w:rsidR="00AD18C2" w:rsidP="00AD18C2">
      <w:pPr>
        <w:pStyle w:val="BodyText"/>
      </w:pPr>
      <w:r w:rsidRPr="00021B92">
        <w:t>X – Logistics</w:t>
      </w:r>
    </w:p>
    <w:p w:rsidR="00000000" w:rsidRPr="00021B92" w:rsidP="00021B92">
      <w:pPr>
        <w:pStyle w:val="Heading1"/>
      </w:pPr>
      <w:bookmarkStart w:id="5" w:name="O_754985"/>
      <w:bookmarkEnd w:id="5"/>
      <w:r w:rsidRPr="00021B92">
        <w:t>Unit Sector</w:t>
      </w:r>
    </w:p>
    <w:p w:rsidR="00AD18C2" w:rsidP="00AD18C2">
      <w:pPr>
        <w:pStyle w:val="BodyText"/>
      </w:pPr>
      <w:r w:rsidRPr="00021B92">
        <w:t>Not applicable.</w:t>
      </w:r>
    </w:p>
    <w:p w:rsidR="00000000" w:rsidRPr="00021B92" w:rsidP="00021B92">
      <w:pPr>
        <w:pStyle w:val="Heading1"/>
      </w:pPr>
      <w:bookmarkStart w:id="6" w:name="O_754986"/>
      <w:bookmarkEnd w:id="6"/>
      <w:r w:rsidRPr="00021B92">
        <w:t>Elements and Performance Criteria</w:t>
      </w:r>
    </w:p>
    <w:tbl>
      <w:tblPr>
        <w:tblW w:w="0" w:type="auto"/>
        <w:tblCellMar>
          <w:left w:w="62" w:type="dxa"/>
          <w:right w:w="62" w:type="dxa"/>
        </w:tblCellMar>
        <w:tblLook w:val="0000"/>
      </w:tblPr>
      <w:tblGrid>
        <w:gridCol w:w="332"/>
        <w:gridCol w:w="1769"/>
        <w:gridCol w:w="552"/>
        <w:gridCol w:w="6543"/>
      </w:tblGrid>
      <w:tr w:rsidTr="00AD18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Performance criteria describe the performance needed to demonstrate achievement of the element.</w:t>
            </w:r>
          </w:p>
        </w:tc>
      </w:tr>
      <w:tr w:rsidTr="00AD18C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rPr>
                <w:rStyle w:val="SpecialBold"/>
              </w:rPr>
              <w:t>Identify and analyse configuration management requirements</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1.1</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Configuration management planning requirements are identified in accordance with organisation</w:t>
            </w:r>
            <w:r w:rsidRPr="00021B92">
              <w:t>al policy and procedures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1.2</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Sources of information relevant to configuration management are identified and accessed in accordance with organisational policy and procedures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1.3</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Standards and legislation applicable to configuration management are identified and accessed</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1.4</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Analysis of configuration management resource requirements is conducted in accordance with organisational policy and procedures</w:t>
            </w:r>
          </w:p>
        </w:tc>
      </w:tr>
      <w:tr w:rsidTr="00AD18C2">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rPr>
                <w:rStyle w:val="SpecialBold"/>
              </w:rPr>
              <w:t>Prepare configuration management plans</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2.1</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Stakeholder consultation is conducted in accordance with relevant organisational policy and procedures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2.2</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Organisational policy and procedures relevant to configuration management requirements are identified a</w:t>
            </w:r>
            <w:r w:rsidRPr="00021B92">
              <w:t>nd interpreted</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2.3</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Configuration management plans are developed in accordance with legislative requirements and organisational policy and procedures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2.4</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Configuration management plans are promulgated in accordance with organisational policy and procedures</w:t>
            </w:r>
          </w:p>
        </w:tc>
      </w:tr>
      <w:tr w:rsidTr="00AD18C2">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rPr>
                <w:rStyle w:val="SpecialBold"/>
              </w:rPr>
              <w:t>Review configuration management plans</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3.1</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Configuration management plans are evaluated in accordance with relevant organisational policy and procedure</w:t>
            </w:r>
            <w:r w:rsidRPr="00021B92">
              <w:t>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3.2</w:t>
            </w: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Required changes to configuration management plans are identified and prepared in accordance with relevant organisational policy and procedures</w:t>
            </w:r>
          </w:p>
        </w:tc>
      </w:tr>
      <w:tr w:rsidTr="00AD18C2">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3.3</w:t>
            </w:r>
          </w:p>
        </w:tc>
        <w:tc>
          <w:tcPr>
            <w:tcW w:w="0" w:type="auto"/>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t>Amendments to configuration management plans are prepared and promulgated to relevant stakeholders or personnel in accordance with relevant organisational policy and procedures</w:t>
            </w:r>
          </w:p>
        </w:tc>
      </w:tr>
    </w:tbl>
    <w:p w:rsidR="00AD18C2" w:rsidP="00021B92">
      <w:pPr>
        <w:pStyle w:val="BodyText"/>
      </w:pPr>
    </w:p>
    <w:p w:rsidR="00AD18C2" w:rsidP="00021B92">
      <w:pPr>
        <w:pStyle w:val="BodyText"/>
      </w:pPr>
    </w:p>
    <w:p w:rsidR="00000000" w:rsidRPr="00021B92" w:rsidP="00021B92">
      <w:pPr>
        <w:pStyle w:val="Heading1"/>
      </w:pPr>
      <w:bookmarkStart w:id="7" w:name="O_754987"/>
      <w:bookmarkEnd w:id="7"/>
      <w:r w:rsidRPr="00021B92">
        <w:t>Foundation Skills</w:t>
      </w:r>
    </w:p>
    <w:p w:rsidR="00AD18C2" w:rsidP="00AD18C2">
      <w:pPr>
        <w:pStyle w:val="BodyText"/>
      </w:pPr>
      <w:r w:rsidRPr="00021B92">
        <w:t>Foundation skills essential to performanc</w:t>
      </w:r>
      <w:r w:rsidRPr="00021B92">
        <w:t>e are explicit in the performance criteria of this unit of competency.</w:t>
      </w:r>
    </w:p>
    <w:p w:rsidR="00000000" w:rsidRPr="00021B92" w:rsidP="00021B92">
      <w:pPr>
        <w:pStyle w:val="Heading1"/>
      </w:pPr>
      <w:bookmarkStart w:id="8" w:name="O_754988"/>
      <w:bookmarkEnd w:id="8"/>
      <w:r w:rsidRPr="00021B92">
        <w:t>Range of Conditions</w:t>
      </w:r>
    </w:p>
    <w:tbl>
      <w:tblPr>
        <w:tblW w:w="0" w:type="auto"/>
        <w:tblCellMar>
          <w:left w:w="62" w:type="dxa"/>
          <w:right w:w="62" w:type="dxa"/>
        </w:tblCellMar>
        <w:tblLook w:val="0000"/>
      </w:tblPr>
      <w:tblGrid>
        <w:gridCol w:w="9196"/>
      </w:tblGrid>
      <w:tr w:rsidTr="00AD1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t>Range is restricted to essential operating conditions and any other variables essential to the work environment.</w:t>
            </w:r>
          </w:p>
          <w:p w:rsidR="00000000" w:rsidRPr="00021B92" w:rsidP="00021B92">
            <w:pPr>
              <w:pStyle w:val="BodyText"/>
            </w:pPr>
            <w:r w:rsidRPr="00021B92">
              <w:t>Non-essential conditions can be fo</w:t>
            </w:r>
            <w:r w:rsidRPr="00021B92">
              <w:t>und in the Companion Volume Implementation Guide.</w:t>
            </w:r>
          </w:p>
        </w:tc>
      </w:tr>
    </w:tbl>
    <w:p w:rsidR="00AD18C2" w:rsidP="00021B92">
      <w:pPr>
        <w:pStyle w:val="BodyText"/>
      </w:pPr>
    </w:p>
    <w:p w:rsidR="00AD18C2" w:rsidP="00021B92">
      <w:pPr>
        <w:pStyle w:val="BodyText"/>
      </w:pPr>
    </w:p>
    <w:p w:rsidR="00000000" w:rsidRPr="00021B92" w:rsidP="00021B92">
      <w:pPr>
        <w:pStyle w:val="Heading1"/>
      </w:pPr>
      <w:bookmarkStart w:id="9" w:name="O_754989"/>
      <w:bookmarkEnd w:id="9"/>
      <w:r w:rsidRPr="00021B92">
        <w:t>Unit Mapping Information</w:t>
      </w:r>
    </w:p>
    <w:p w:rsidR="00AD18C2" w:rsidP="00AD18C2">
      <w:pPr>
        <w:pStyle w:val="BodyText"/>
      </w:pPr>
      <w:r w:rsidRPr="00021B92">
        <w:t>This unit replaces and is equivalent to TLIX5020A Develop and review configuration management plans.</w:t>
      </w:r>
    </w:p>
    <w:p w:rsidR="00000000" w:rsidRPr="00021B92" w:rsidP="00021B92">
      <w:pPr>
        <w:pStyle w:val="Heading1"/>
      </w:pPr>
      <w:bookmarkStart w:id="10" w:name="O_754996"/>
      <w:bookmarkEnd w:id="10"/>
      <w:r w:rsidRPr="00021B92">
        <w:t>Links</w:t>
      </w:r>
    </w:p>
    <w:p w:rsidR="00000000" w:rsidRPr="00021B92" w:rsidP="00AD18C2">
      <w:pPr>
        <w:pStyle w:val="BodyText"/>
      </w:pPr>
      <w:r w:rsidRPr="00021B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E10F5">
        <w:rPr>
          <w:rStyle w:val="Hyperlink"/>
        </w:rPr>
        <w:t>https://vetnet.gov.au/Pages/TrainingDocs.aspx?q=df441c6e-213d-43e3-874c-0b3f7036d851</w:t>
      </w:r>
      <w:r>
        <w:fldChar w:fldCharType="end"/>
      </w:r>
    </w:p>
    <w:p w:rsidR="00000000" w:rsidRPr="00021B92" w:rsidP="00AD18C2">
      <w:pPr>
        <w:pStyle w:val="BodyText"/>
        <w:sectPr w:rsidSect="00021B92">
          <w:headerReference w:type="default" r:id="rId10"/>
          <w:footerReference w:type="default" r:id="rId11"/>
          <w:pgSz w:w="11908" w:h="16833"/>
          <w:pgMar w:top="1702" w:right="1418" w:bottom="1702" w:left="1418" w:header="992" w:footer="992" w:gutter="0"/>
          <w:cols w:space="720"/>
          <w:noEndnote/>
          <w:docGrid w:linePitch="299"/>
        </w:sectPr>
      </w:pPr>
    </w:p>
    <w:p w:rsidR="00000000" w:rsidRPr="00021B92" w:rsidP="00021B92">
      <w:pPr>
        <w:pStyle w:val="SuperHeading"/>
      </w:pPr>
      <w:r w:rsidRPr="00021B92">
        <w:t>Assessment Requirements for TLIX5020 Develop and review configu</w:t>
      </w:r>
      <w:r w:rsidRPr="00021B92">
        <w:t>ration management plans</w:t>
      </w:r>
    </w:p>
    <w:p w:rsidR="00000000" w:rsidRPr="00021B92" w:rsidP="00021B92">
      <w:pPr>
        <w:pStyle w:val="Heading1"/>
      </w:pPr>
      <w:bookmarkStart w:id="11" w:name="O_754991"/>
      <w:bookmarkEnd w:id="11"/>
      <w:r w:rsidRPr="00021B92">
        <w:t>Modification History</w:t>
      </w:r>
    </w:p>
    <w:p w:rsidR="00AD18C2" w:rsidP="00AD18C2">
      <w:pPr>
        <w:pStyle w:val="BodyText"/>
      </w:pPr>
      <w:r w:rsidRPr="00021B92">
        <w:t>Release 1. This is the first release of this unit of competency in the TLI Transport and Logistics Training Package.</w:t>
      </w:r>
    </w:p>
    <w:p w:rsidR="00000000" w:rsidRPr="00021B92" w:rsidP="00021B92">
      <w:pPr>
        <w:pStyle w:val="Heading1"/>
      </w:pPr>
      <w:bookmarkStart w:id="12" w:name="O_754992"/>
      <w:bookmarkEnd w:id="12"/>
      <w:r w:rsidRPr="00021B92">
        <w:t>Performance Evidence</w:t>
      </w:r>
    </w:p>
    <w:tbl>
      <w:tblPr>
        <w:tblW w:w="0" w:type="auto"/>
        <w:tblCellMar>
          <w:left w:w="62" w:type="dxa"/>
          <w:right w:w="62" w:type="dxa"/>
        </w:tblCellMar>
        <w:tblLook w:val="0000"/>
      </w:tblPr>
      <w:tblGrid>
        <w:gridCol w:w="9196"/>
      </w:tblGrid>
      <w:tr w:rsidTr="00AD18C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Evidence required to demonstrate competence in this unit must be relevant to and satisfy all of the requirements of the elements and performance criteria on at least one occasion and include:</w:t>
            </w:r>
          </w:p>
        </w:tc>
      </w:tr>
      <w:tr w:rsidTr="00AD18C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21B92" w:rsidP="00021B92">
            <w:pPr>
              <w:pStyle w:val="ListBullet"/>
            </w:pPr>
            <w:r w:rsidRPr="00021B92">
              <w:t>adhering to relevant work health and safety (WHS)/occupational health and safety (OHS) requirements</w:t>
            </w:r>
          </w:p>
          <w:p w:rsidR="00000000" w:rsidRPr="00021B92" w:rsidP="00021B92">
            <w:pPr>
              <w:pStyle w:val="ListBullet"/>
            </w:pPr>
            <w:r w:rsidRPr="00021B92">
              <w:t>applying configuration management and project management knowledge relevant to planning</w:t>
            </w:r>
          </w:p>
          <w:p w:rsidR="00000000" w:rsidRPr="00021B92" w:rsidP="00021B92">
            <w:pPr>
              <w:pStyle w:val="ListBullet"/>
            </w:pPr>
            <w:r w:rsidRPr="00021B92">
              <w:t>consulting and negotiating effectively with internal and external st</w:t>
            </w:r>
            <w:r w:rsidRPr="00021B92">
              <w:t>akeholders and resolving potential areas of conflict or concern to ensure overall configuration management planning objectives are achieved</w:t>
            </w:r>
          </w:p>
          <w:p w:rsidR="00000000" w:rsidRPr="00021B92" w:rsidP="00021B92">
            <w:pPr>
              <w:pStyle w:val="ListBullet"/>
            </w:pPr>
            <w:r w:rsidRPr="00021B92">
              <w:t>displaying resilience by continuing to move forward despite criticism or setbacks</w:t>
            </w:r>
          </w:p>
          <w:p w:rsidR="00000000" w:rsidRPr="00021B92" w:rsidP="00021B92">
            <w:pPr>
              <w:pStyle w:val="ListBullet"/>
            </w:pPr>
            <w:r w:rsidRPr="00021B92">
              <w:t>drawing on information from a vari</w:t>
            </w:r>
            <w:r w:rsidRPr="00021B92">
              <w:t>ety of sources using research, analysis and judgement to identify and develop configuration management plans</w:t>
            </w:r>
          </w:p>
          <w:p w:rsidR="00000000" w:rsidRPr="00021B92" w:rsidP="00021B92">
            <w:pPr>
              <w:pStyle w:val="ListBullet"/>
            </w:pPr>
            <w:r w:rsidRPr="00021B92">
              <w:t>identifying relationships between organisational goals and recognising how own work contributes to achieving these goals</w:t>
            </w:r>
          </w:p>
          <w:p w:rsidR="00000000" w:rsidRPr="00021B92" w:rsidP="00021B92">
            <w:pPr>
              <w:pStyle w:val="ListBullet"/>
            </w:pPr>
            <w:r w:rsidRPr="00021B92">
              <w:t>identifying requirements f</w:t>
            </w:r>
            <w:r w:rsidRPr="00021B92">
              <w:t>or plans and adjusting them as necessary to ensure effective and efficient performance</w:t>
            </w:r>
          </w:p>
          <w:p w:rsidR="00000000" w:rsidRPr="00021B92" w:rsidP="00021B92">
            <w:pPr>
              <w:pStyle w:val="ListBullet"/>
            </w:pPr>
            <w:r w:rsidRPr="00021B92">
              <w:t>identifying, reviewing and analysing information that may impact on configuration management planning or may be impacted by configuration management planning</w:t>
            </w:r>
          </w:p>
          <w:p w:rsidR="00000000" w:rsidRPr="00021B92" w:rsidP="00021B92">
            <w:pPr>
              <w:pStyle w:val="ListBullet"/>
            </w:pPr>
            <w:r w:rsidRPr="00021B92">
              <w:t xml:space="preserve">initiating </w:t>
            </w:r>
            <w:r w:rsidRPr="00021B92">
              <w:t>and efficiently monitoring processes</w:t>
            </w:r>
          </w:p>
          <w:p w:rsidR="00000000" w:rsidRPr="00021B92" w:rsidP="00021B92">
            <w:pPr>
              <w:pStyle w:val="ListBullet"/>
            </w:pPr>
            <w:r w:rsidRPr="00021B92">
              <w:t>initiating remedial action required</w:t>
            </w:r>
          </w:p>
          <w:p w:rsidR="00000000" w:rsidRPr="00021B92" w:rsidP="00021B92">
            <w:pPr>
              <w:pStyle w:val="ListBullet"/>
            </w:pPr>
            <w:r w:rsidRPr="00021B92">
              <w:t>undertaking performance measurement relevant to configuration management planning to enable objectives to be measured against defined parameters</w:t>
            </w:r>
          </w:p>
          <w:p w:rsidR="00000000" w:rsidRPr="00021B92" w:rsidP="00021B92">
            <w:pPr>
              <w:pStyle w:val="ListBullet"/>
            </w:pPr>
            <w:r w:rsidRPr="00021B92">
              <w:t>using appropriate information technolo</w:t>
            </w:r>
            <w:r w:rsidRPr="00021B92">
              <w:t>gy and software</w:t>
            </w:r>
          </w:p>
          <w:p w:rsidR="00000000" w:rsidRPr="00021B92" w:rsidP="00021B92">
            <w:pPr>
              <w:pStyle w:val="ListBullet"/>
            </w:pPr>
            <w:r w:rsidRPr="00021B92">
              <w:t>using organisational strategic objectives to identify and assess potential alliances and effective strategies.</w:t>
            </w:r>
          </w:p>
        </w:tc>
      </w:tr>
    </w:tbl>
    <w:p w:rsidR="00000000" w:rsidRPr="00021B92" w:rsidP="00021B92">
      <w:pPr>
        <w:pStyle w:val="BodyText"/>
      </w:pPr>
    </w:p>
    <w:p w:rsidR="00000000" w:rsidRPr="00021B92" w:rsidP="00021B92">
      <w:pPr>
        <w:pStyle w:val="AllowPageBreak"/>
      </w:pPr>
    </w:p>
    <w:p w:rsidR="00000000" w:rsidRPr="00021B92" w:rsidP="00021B92">
      <w:pPr>
        <w:pStyle w:val="Heading1"/>
      </w:pPr>
      <w:bookmarkStart w:id="13" w:name="O_754993"/>
      <w:bookmarkEnd w:id="13"/>
      <w:r w:rsidRPr="00021B92">
        <w:t>Knowledge Evidence</w:t>
      </w:r>
    </w:p>
    <w:tbl>
      <w:tblPr>
        <w:tblW w:w="0" w:type="auto"/>
        <w:tblCellMar>
          <w:left w:w="62" w:type="dxa"/>
          <w:right w:w="62" w:type="dxa"/>
        </w:tblCellMar>
        <w:tblLook w:val="0000"/>
      </w:tblPr>
      <w:tblGrid>
        <w:gridCol w:w="9196"/>
      </w:tblGrid>
      <w:tr w:rsidTr="00AD18C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P="00021B92">
            <w:pPr>
              <w:pStyle w:val="BodyText"/>
              <w:rPr>
                <w:lang w:val="en-NZ"/>
              </w:rPr>
            </w:pPr>
            <w:r w:rsidRPr="00021B92">
              <w:t>Evidence required to demonstrate competence in this unit must be relevant to and satisfy all of the requirements of the elements and performance criteria and include knowledge of:</w:t>
            </w:r>
          </w:p>
        </w:tc>
      </w:tr>
      <w:tr w:rsidTr="00AD18C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21B92" w:rsidP="00021B92">
            <w:pPr>
              <w:pStyle w:val="ListBullet"/>
            </w:pPr>
            <w:r w:rsidRPr="00021B92">
              <w:t>codification and cataloguing processes</w:t>
            </w:r>
          </w:p>
          <w:p w:rsidR="00000000" w:rsidRPr="00021B92" w:rsidP="00021B92">
            <w:pPr>
              <w:pStyle w:val="ListBullet"/>
            </w:pPr>
            <w:r w:rsidRPr="00021B92">
              <w:t>configuration management</w:t>
            </w:r>
          </w:p>
          <w:p w:rsidR="00000000" w:rsidRPr="00021B92" w:rsidP="00021B92">
            <w:pPr>
              <w:pStyle w:val="ListBullet"/>
            </w:pPr>
            <w:r w:rsidRPr="00021B92">
              <w:t>legislative and regulatory environment as it relates to materiel logistics</w:t>
            </w:r>
          </w:p>
          <w:p w:rsidR="00000000" w:rsidRPr="00021B92" w:rsidP="00021B92">
            <w:pPr>
              <w:pStyle w:val="ListBullet"/>
            </w:pPr>
            <w:r w:rsidRPr="00021B92">
              <w:t>logistics governance</w:t>
            </w:r>
          </w:p>
          <w:p w:rsidR="00000000" w:rsidRPr="00021B92" w:rsidP="00021B92">
            <w:pPr>
              <w:pStyle w:val="ListBullet"/>
            </w:pPr>
            <w:r w:rsidRPr="00021B92">
              <w:t>materiel logistics</w:t>
            </w:r>
          </w:p>
          <w:p w:rsidR="00000000" w:rsidRPr="00021B92" w:rsidP="00021B92">
            <w:pPr>
              <w:pStyle w:val="ListBullet"/>
            </w:pPr>
            <w:r w:rsidRPr="00021B92">
              <w:t>organisational policy and procedures</w:t>
            </w:r>
          </w:p>
          <w:p w:rsidR="00000000" w:rsidRPr="00021B92" w:rsidP="00021B92">
            <w:pPr>
              <w:pStyle w:val="ListBullet"/>
            </w:pPr>
            <w:r w:rsidRPr="00021B92">
              <w:t>organisational role relevant to configuration management</w:t>
            </w:r>
          </w:p>
          <w:p w:rsidR="00000000" w:rsidRPr="00021B92" w:rsidP="00021B92">
            <w:pPr>
              <w:pStyle w:val="ListBullet"/>
            </w:pPr>
            <w:r w:rsidRPr="00021B92">
              <w:t>planning processes</w:t>
            </w:r>
          </w:p>
          <w:p w:rsidR="00000000" w:rsidRPr="00021B92" w:rsidP="00021B92">
            <w:pPr>
              <w:pStyle w:val="ListBullet"/>
            </w:pPr>
            <w:r w:rsidRPr="00021B92">
              <w:t>product knowledge related to</w:t>
            </w:r>
            <w:r w:rsidRPr="00021B92">
              <w:t xml:space="preserve"> systems and/or equipment in service in the organisation</w:t>
            </w:r>
          </w:p>
          <w:p w:rsidR="00000000" w:rsidRPr="00021B92" w:rsidP="00021B92">
            <w:pPr>
              <w:pStyle w:val="ListBullet"/>
            </w:pPr>
            <w:r w:rsidRPr="00021B92">
              <w:t>safety, legislative and statutory requirements relevant to configuration management.</w:t>
            </w:r>
          </w:p>
        </w:tc>
      </w:tr>
    </w:tbl>
    <w:p w:rsidR="00000000" w:rsidRPr="00021B92" w:rsidP="00021B92">
      <w:pPr>
        <w:pStyle w:val="BodyText"/>
      </w:pPr>
    </w:p>
    <w:p w:rsidR="00000000" w:rsidRPr="00021B92" w:rsidP="00021B92">
      <w:pPr>
        <w:pStyle w:val="AllowPageBreak"/>
      </w:pPr>
    </w:p>
    <w:p w:rsidR="00000000" w:rsidRPr="00021B92" w:rsidP="00021B92">
      <w:pPr>
        <w:pStyle w:val="Heading1"/>
      </w:pPr>
      <w:bookmarkStart w:id="14" w:name="O_754994"/>
      <w:bookmarkEnd w:id="14"/>
      <w:r w:rsidRPr="00021B92">
        <w:t>Assessment Conditions</w:t>
      </w:r>
    </w:p>
    <w:tbl>
      <w:tblPr>
        <w:tblW w:w="0" w:type="auto"/>
        <w:tblCellMar>
          <w:left w:w="62" w:type="dxa"/>
          <w:right w:w="62" w:type="dxa"/>
        </w:tblCellMar>
        <w:tblLook w:val="0000"/>
      </w:tblPr>
      <w:tblGrid>
        <w:gridCol w:w="9196"/>
      </w:tblGrid>
      <w:tr w:rsidTr="00AD18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1B92" w:rsidP="00021B92">
            <w:pPr>
              <w:pStyle w:val="BodyText"/>
            </w:pPr>
            <w:r w:rsidRPr="00021B92">
              <w:t xml:space="preserve">As a minimum, assessors must satisfy applicable regulatory requirements, </w:t>
            </w:r>
            <w:r w:rsidRPr="00021B92">
              <w:t xml:space="preserve">which include requirements in the </w:t>
            </w:r>
            <w:r w:rsidRPr="00021B92">
              <w:rPr>
                <w:rStyle w:val="Emphasis"/>
              </w:rPr>
              <w:t>Standards for Registered Training Organisations</w:t>
            </w:r>
            <w:r w:rsidRPr="00021B92">
              <w:t xml:space="preserve">, current at the time of assessment. </w:t>
            </w:r>
          </w:p>
          <w:p w:rsidR="00000000" w:rsidRPr="00021B92" w:rsidP="00021B92">
            <w:pPr>
              <w:pStyle w:val="BodyText"/>
            </w:pPr>
            <w:r w:rsidRPr="00021B92">
              <w:t xml:space="preserve">As a minimum, assessment must satisfy applicable regulatory requirements, which include requirements in the </w:t>
            </w:r>
            <w:r w:rsidRPr="00021B92">
              <w:rPr>
                <w:rStyle w:val="Emphasis"/>
              </w:rPr>
              <w:t>Standards for Registered Training Organisations</w:t>
            </w:r>
            <w:r w:rsidRPr="00021B92">
              <w:t xml:space="preserve"> current at the time of assessment.</w:t>
            </w:r>
          </w:p>
          <w:p w:rsidR="00000000" w:rsidRPr="00021B92" w:rsidP="00021B92">
            <w:pPr>
              <w:pStyle w:val="BodyText"/>
            </w:pPr>
            <w:r w:rsidRPr="00021B92">
              <w:t>Assessment must occur in workplace operational situations where it is appropriate to do so; where this is not appropriate, assessment must occur in simulated workplace opera</w:t>
            </w:r>
            <w:r w:rsidRPr="00021B92">
              <w:t xml:space="preserve">tional situations that replicate workplace conditions. </w:t>
            </w:r>
          </w:p>
          <w:p w:rsidR="00000000" w:rsidRPr="00021B92" w:rsidP="00021B92">
            <w:pPr>
              <w:pStyle w:val="BodyText"/>
            </w:pPr>
            <w:r w:rsidRPr="00021B92">
              <w:t>Assessment processes and techniques must be appropriate to the language, literacy and numeracy requirements of the work being performed and the needs of the candidate.</w:t>
            </w:r>
          </w:p>
          <w:p w:rsidR="00000000" w:rsidRPr="00021B92" w:rsidP="00021B92">
            <w:pPr>
              <w:pStyle w:val="BodyText"/>
            </w:pPr>
            <w:r w:rsidRPr="00021B92">
              <w:t>Resources for assessment include</w:t>
            </w:r>
            <w:r w:rsidRPr="00021B92">
              <w:t>:</w:t>
            </w:r>
          </w:p>
          <w:p w:rsidR="00000000" w:rsidRPr="00021B92" w:rsidP="00021B92">
            <w:pPr>
              <w:pStyle w:val="ListBullet"/>
            </w:pPr>
            <w:r w:rsidRPr="00021B92">
              <w:t>a range of relevant exercises, case studies and/or simulations</w:t>
            </w:r>
          </w:p>
          <w:p w:rsidR="00000000" w:rsidRPr="00021B92" w:rsidP="00021B92">
            <w:pPr>
              <w:pStyle w:val="ListBullet"/>
            </w:pPr>
            <w:r w:rsidRPr="00021B92">
              <w:t xml:space="preserve">relevant and appropriate materials, tools, equipment and personal protective equipment currently used in industry </w:t>
            </w:r>
          </w:p>
          <w:p w:rsidR="00000000" w:rsidRPr="00021B92" w:rsidP="00021B92">
            <w:pPr>
              <w:pStyle w:val="ListBullet"/>
            </w:pPr>
            <w:r w:rsidRPr="00021B92">
              <w:t>applicable documentation including workplace procedures, regulations, codes</w:t>
            </w:r>
            <w:r w:rsidRPr="00021B92">
              <w:t xml:space="preserve"> of practice and operation manuals</w:t>
            </w:r>
          </w:p>
          <w:p w:rsidR="00000000" w:rsidRPr="00021B92" w:rsidP="00021B92">
            <w:pPr>
              <w:pStyle w:val="ListBullet"/>
            </w:pPr>
            <w:r w:rsidRPr="00021B92">
              <w:t>computer and relevant software</w:t>
            </w:r>
          </w:p>
          <w:p w:rsidR="00000000" w:rsidRPr="00021B92" w:rsidP="00021B92">
            <w:pPr>
              <w:pStyle w:val="ListBullet"/>
            </w:pPr>
            <w:r w:rsidRPr="00021B92">
              <w:t>legislation, guidelines, procedures and protocols relating to configuration management</w:t>
            </w:r>
          </w:p>
          <w:p w:rsidR="00000000" w:rsidRPr="00021B92" w:rsidP="00021B92">
            <w:pPr>
              <w:pStyle w:val="ListBullet"/>
            </w:pPr>
            <w:r w:rsidRPr="00021B92">
              <w:t>configuration management plans.</w:t>
            </w:r>
          </w:p>
        </w:tc>
      </w:tr>
    </w:tbl>
    <w:p w:rsidR="00AD18C2" w:rsidP="00021B92">
      <w:pPr>
        <w:pStyle w:val="BodyText"/>
      </w:pPr>
    </w:p>
    <w:p w:rsidR="00AD18C2" w:rsidP="00021B92">
      <w:pPr>
        <w:pStyle w:val="BodyText"/>
      </w:pPr>
    </w:p>
    <w:p w:rsidR="00000000" w:rsidRPr="00021B92" w:rsidP="00021B92">
      <w:pPr>
        <w:pStyle w:val="Heading1"/>
      </w:pPr>
      <w:bookmarkStart w:id="15" w:name="O_754997"/>
      <w:bookmarkEnd w:id="15"/>
      <w:r w:rsidRPr="00021B92">
        <w:t>Links</w:t>
      </w:r>
    </w:p>
    <w:p w:rsidR="00000000" w:rsidRPr="00021B92" w:rsidP="00AD18C2">
      <w:pPr>
        <w:pStyle w:val="BodyText"/>
      </w:pPr>
      <w:r w:rsidRPr="00021B9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E10F5">
        <w:rPr>
          <w:rStyle w:val="Hyperlink"/>
        </w:rPr>
        <w:t>https://vetnet.gov.au/Pages/TrainingDocs.aspx?q=df441c6e-213d-43e3-874c-0b3f7036d851</w:t>
      </w:r>
      <w:r>
        <w:fldChar w:fldCharType="end"/>
      </w:r>
    </w:p>
    <w:p w:rsidR="00000000" w:rsidRPr="00021B92" w:rsidP="00021B92"/>
    <w:sectPr w:rsidSect="00021B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rsidRPr="00AD18C2" w:rsidP="00AD1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C2" w:rsidP="00021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18C2" w:rsidP="00021B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18C2" w:rsidP="00021B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rsidP="00021B92">
    <w:pPr>
      <w:pStyle w:val="Footer"/>
      <w:framePr w:wrap="around"/>
    </w:pPr>
    <w:r>
      <w:fldChar w:fldCharType="begin"/>
    </w:r>
    <w:r>
      <w:instrText xml:space="preserve"> DOCPROPERTY  Subject  \* MERGEFORMAT </w:instrText>
    </w:r>
    <w:r>
      <w:fldChar w:fldCharType="separate"/>
    </w:r>
    <w:r w:rsidR="00AD18C2">
      <w:t>Approved</w:t>
    </w:r>
    <w:r w:rsidR="00AD18C2">
      <w:fldChar w:fldCharType="end"/>
    </w:r>
    <w:r>
      <w:tab/>
      <w:t xml:space="preserve">Page </w:t>
    </w:r>
    <w:r>
      <w:fldChar w:fldCharType="begin"/>
    </w:r>
    <w:r>
      <w:instrText xml:space="preserve"> PAGE  \* Arabic  \* MERGEFORMAT </w:instrText>
    </w:r>
    <w:r>
      <w:fldChar w:fldCharType="separate"/>
    </w:r>
    <w:r w:rsidR="00AD18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8C2">
      <w:rPr>
        <w:noProof/>
      </w:rPr>
      <w:t>4</w:t>
    </w:r>
    <w:r>
      <w:rPr>
        <w:noProof/>
      </w:rPr>
      <w:fldChar w:fldCharType="end"/>
    </w:r>
  </w:p>
  <w:p w:rsidR="00021B92" w:rsidP="00021B92">
    <w:pPr>
      <w:pStyle w:val="Footer"/>
      <w:framePr w:wrap="around"/>
    </w:pPr>
    <w:r>
      <w:t xml:space="preserve">© Commonwealth of Australia, </w:t>
    </w:r>
    <w:r>
      <w:fldChar w:fldCharType="begin"/>
    </w:r>
    <w:r>
      <w:instrText xml:space="preserve"> DATE  \@ "yyyy"  \* MERGEFORMAT </w:instrText>
    </w:r>
    <w:r>
      <w:fldChar w:fldCharType="separate"/>
    </w:r>
    <w:r w:rsidR="00AD18C2">
      <w:rPr>
        <w:noProof/>
      </w:rPr>
      <w:t>2025</w:t>
    </w:r>
    <w:r>
      <w:fldChar w:fldCharType="end"/>
    </w:r>
    <w:r>
      <w:tab/>
    </w:r>
    <w:r>
      <w:fldChar w:fldCharType="begin"/>
    </w:r>
    <w:r>
      <w:instrText xml:space="preserve"> DOCPROPERTY  Author  \* MERGEFORMAT </w:instrText>
    </w:r>
    <w:r>
      <w:fldChar w:fldCharType="separate"/>
    </w:r>
    <w:r w:rsidR="00AD18C2">
      <w:t>Industry Skills Australia</w:t>
    </w:r>
    <w:r w:rsidR="00AD18C2">
      <w:fldChar w:fldCharType="end"/>
    </w:r>
  </w:p>
  <w:p w:rsidR="00021B92" w:rsidP="00021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B92" w:rsidRPr="00AD18C2" w:rsidP="00AD1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C2" w:rsidRPr="002D2AF8" w:rsidP="00021B92">
    <w:pPr>
      <w:pStyle w:val="Header"/>
      <w:framePr w:wrap="around"/>
    </w:pPr>
    <w:r>
      <w:fldChar w:fldCharType="begin"/>
    </w:r>
    <w:r>
      <w:instrText xml:space="preserve"> TITLE   \* MERGEFORMAT </w:instrText>
    </w:r>
    <w:r>
      <w:fldChar w:fldCharType="separate"/>
    </w:r>
    <w:r>
      <w:t>TLIX5020 Develop and review configuration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8C2" w:rsidP="00021B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92" w:rsidRPr="002D2AF8" w:rsidP="00021B92">
    <w:pPr>
      <w:pStyle w:val="Header"/>
      <w:framePr w:wrap="around"/>
    </w:pPr>
    <w:r>
      <w:fldChar w:fldCharType="begin"/>
    </w:r>
    <w:r>
      <w:instrText xml:space="preserve"> TITLE   \* MERGEFORMAT </w:instrText>
    </w:r>
    <w:r>
      <w:fldChar w:fldCharType="separate"/>
    </w:r>
    <w:r w:rsidR="00AD18C2">
      <w:t>TLIX5020 Develop and review configuration management plans</w:t>
    </w:r>
    <w:r w:rsidR="00AD18C2">
      <w:fldChar w:fldCharType="end"/>
    </w:r>
    <w:r>
      <w:tab/>
      <w:t xml:space="preserve">Date this document was generated: </w:t>
    </w:r>
    <w:r>
      <w:fldChar w:fldCharType="begin"/>
    </w:r>
    <w:r>
      <w:instrText xml:space="preserve"> CREATEDATE  \@ "d MMMM yyyy"  \* MERGEFORMAT </w:instrText>
    </w:r>
    <w:r>
      <w:fldChar w:fldCharType="separate"/>
    </w:r>
    <w:r w:rsidR="00AD18C2">
      <w:rPr>
        <w:noProof/>
      </w:rPr>
      <w:t>2 March 2025</w:t>
    </w:r>
    <w:r>
      <w:fldChar w:fldCharType="end"/>
    </w:r>
  </w:p>
  <w:p w:rsidR="00021B92" w:rsidP="00021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365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EA2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B92"/>
    <w:pPr>
      <w:spacing w:before="360" w:after="60"/>
      <w:outlineLvl w:val="0"/>
    </w:pPr>
    <w:rPr>
      <w:sz w:val="32"/>
    </w:rPr>
  </w:style>
  <w:style w:type="paragraph" w:styleId="Heading2">
    <w:name w:val="heading 2"/>
    <w:basedOn w:val="HeadingBase"/>
    <w:next w:val="BodyText"/>
    <w:link w:val="Heading2Char"/>
    <w:qFormat/>
    <w:rsid w:val="00021B92"/>
    <w:pPr>
      <w:keepLines/>
      <w:spacing w:before="240" w:after="120"/>
      <w:outlineLvl w:val="1"/>
    </w:pPr>
    <w:rPr>
      <w:sz w:val="28"/>
      <w:szCs w:val="40"/>
    </w:rPr>
  </w:style>
  <w:style w:type="paragraph" w:styleId="Heading3">
    <w:name w:val="heading 3"/>
    <w:basedOn w:val="HeadingBase"/>
    <w:next w:val="BodyText"/>
    <w:link w:val="Heading3Char"/>
    <w:qFormat/>
    <w:rsid w:val="00021B92"/>
    <w:pPr>
      <w:spacing w:before="180" w:after="120"/>
      <w:outlineLvl w:val="2"/>
    </w:pPr>
    <w:rPr>
      <w:spacing w:val="-10"/>
      <w:kern w:val="32"/>
    </w:rPr>
  </w:style>
  <w:style w:type="paragraph" w:styleId="Heading4">
    <w:name w:val="heading 4"/>
    <w:basedOn w:val="HeadingBase"/>
    <w:next w:val="BodyText"/>
    <w:link w:val="Heading4Char"/>
    <w:qFormat/>
    <w:rsid w:val="00021B92"/>
    <w:pPr>
      <w:spacing w:before="160" w:after="120"/>
      <w:outlineLvl w:val="3"/>
    </w:pPr>
    <w:rPr>
      <w:sz w:val="22"/>
    </w:rPr>
  </w:style>
  <w:style w:type="paragraph" w:styleId="Heading5">
    <w:name w:val="heading 5"/>
    <w:basedOn w:val="HeadingBase"/>
    <w:next w:val="Normal"/>
    <w:link w:val="Heading5Char"/>
    <w:qFormat/>
    <w:rsid w:val="00021B92"/>
    <w:pPr>
      <w:spacing w:before="80"/>
      <w:outlineLvl w:val="4"/>
    </w:pPr>
    <w:rPr>
      <w:color w:val="918585"/>
      <w:sz w:val="20"/>
    </w:rPr>
  </w:style>
  <w:style w:type="paragraph" w:styleId="Heading6">
    <w:name w:val="heading 6"/>
    <w:basedOn w:val="HeadingBase"/>
    <w:next w:val="Normal"/>
    <w:link w:val="Heading6Char"/>
    <w:qFormat/>
    <w:rsid w:val="00021B92"/>
    <w:pPr>
      <w:spacing w:before="60"/>
      <w:outlineLvl w:val="5"/>
    </w:pPr>
    <w:rPr>
      <w:color w:val="918585"/>
      <w:sz w:val="20"/>
    </w:rPr>
  </w:style>
  <w:style w:type="paragraph" w:styleId="Heading7">
    <w:name w:val="heading 7"/>
    <w:basedOn w:val="Normal"/>
    <w:next w:val="Normal"/>
    <w:link w:val="Heading7Char"/>
    <w:qFormat/>
    <w:rsid w:val="00021B92"/>
    <w:pPr>
      <w:ind w:left="720"/>
      <w:outlineLvl w:val="6"/>
    </w:pPr>
    <w:rPr>
      <w:i/>
    </w:rPr>
  </w:style>
  <w:style w:type="paragraph" w:styleId="Heading8">
    <w:name w:val="heading 8"/>
    <w:basedOn w:val="Normal"/>
    <w:next w:val="Normal"/>
    <w:link w:val="Heading8Char"/>
    <w:qFormat/>
    <w:rsid w:val="00021B92"/>
    <w:pPr>
      <w:ind w:left="720"/>
      <w:outlineLvl w:val="7"/>
    </w:pPr>
    <w:rPr>
      <w:i/>
    </w:rPr>
  </w:style>
  <w:style w:type="paragraph" w:styleId="Heading9">
    <w:name w:val="heading 9"/>
    <w:basedOn w:val="Normal"/>
    <w:next w:val="Normal"/>
    <w:link w:val="Heading9Char"/>
    <w:qFormat/>
    <w:rsid w:val="00021B92"/>
    <w:pPr>
      <w:ind w:left="720"/>
      <w:outlineLvl w:val="8"/>
    </w:pPr>
    <w:rPr>
      <w:i/>
    </w:rPr>
  </w:style>
  <w:style w:type="character" w:default="1" w:styleId="DefaultParagraphFont">
    <w:name w:val="Default Paragraph Font"/>
    <w:uiPriority w:val="1"/>
    <w:unhideWhenUsed/>
    <w:rsid w:val="00021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B92"/>
  </w:style>
  <w:style w:type="character" w:customStyle="1" w:styleId="Heading1Char">
    <w:name w:val="Heading 1 Char"/>
    <w:basedOn w:val="DefaultParagraphFont"/>
    <w:link w:val="Heading1"/>
    <w:rsid w:val="00021B92"/>
    <w:rPr>
      <w:rFonts w:ascii="Times New Roman" w:eastAsia="Times New Roman" w:hAnsi="Times New Roman" w:cs="Times New Roman"/>
      <w:b/>
      <w:sz w:val="32"/>
      <w:szCs w:val="20"/>
      <w:lang w:eastAsia="en-US"/>
    </w:rPr>
  </w:style>
  <w:style w:type="paragraph" w:styleId="BodyText">
    <w:name w:val="Body Text"/>
    <w:basedOn w:val="Normal"/>
    <w:link w:val="BodyTextChar"/>
    <w:rsid w:val="00021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B92"/>
    <w:rPr>
      <w:rFonts w:ascii="Times New Roman" w:eastAsia="Times New Roman" w:hAnsi="Times New Roman" w:cs="Times New Roman"/>
      <w:sz w:val="24"/>
      <w:lang w:eastAsia="en-US"/>
    </w:rPr>
  </w:style>
  <w:style w:type="paragraph" w:styleId="ListBullet">
    <w:name w:val="List Bullet"/>
    <w:basedOn w:val="List"/>
    <w:rsid w:val="00021B92"/>
    <w:pPr>
      <w:numPr>
        <w:numId w:val="11"/>
      </w:numPr>
      <w:tabs>
        <w:tab w:val="clear" w:pos="340"/>
      </w:tabs>
      <w:spacing w:before="40" w:after="40"/>
    </w:pPr>
  </w:style>
  <w:style w:type="character" w:customStyle="1" w:styleId="SpecialBold">
    <w:name w:val="Special Bold"/>
    <w:basedOn w:val="DefaultParagraphFont"/>
    <w:rsid w:val="00021B92"/>
    <w:rPr>
      <w:b/>
      <w:spacing w:val="0"/>
    </w:rPr>
  </w:style>
  <w:style w:type="character" w:styleId="Emphasis">
    <w:name w:val="Emphasis"/>
    <w:basedOn w:val="DefaultParagraphFont"/>
    <w:qFormat/>
    <w:rsid w:val="00021B92"/>
    <w:rPr>
      <w:i/>
    </w:rPr>
  </w:style>
  <w:style w:type="paragraph" w:customStyle="1" w:styleId="SuperHeading">
    <w:name w:val="SuperHeading"/>
    <w:basedOn w:val="Normal"/>
    <w:rsid w:val="00021B92"/>
    <w:pPr>
      <w:spacing w:before="240" w:after="120"/>
      <w:outlineLvl w:val="0"/>
    </w:pPr>
    <w:rPr>
      <w:rFonts w:ascii="Times New Roman" w:hAnsi="Times New Roman"/>
      <w:b/>
      <w:sz w:val="32"/>
    </w:rPr>
  </w:style>
  <w:style w:type="paragraph" w:customStyle="1" w:styleId="AllowPageBreak">
    <w:name w:val="AllowPageBreak"/>
    <w:rsid w:val="00021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B92"/>
    <w:rPr>
      <w:rFonts w:ascii="Courier New" w:eastAsia="Times New Roman" w:hAnsi="Courier New" w:cs="Times New Roman"/>
      <w:i/>
      <w:szCs w:val="20"/>
      <w:lang w:eastAsia="en-US"/>
    </w:rPr>
  </w:style>
  <w:style w:type="paragraph" w:customStyle="1" w:styleId="HeadingBase">
    <w:name w:val="Heading Base"/>
    <w:rsid w:val="00021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B92"/>
    <w:pPr>
      <w:tabs>
        <w:tab w:val="right" w:leader="dot" w:pos="9072"/>
      </w:tabs>
      <w:ind w:left="567"/>
    </w:pPr>
    <w:rPr>
      <w:szCs w:val="22"/>
    </w:rPr>
  </w:style>
  <w:style w:type="paragraph" w:customStyle="1" w:styleId="TOCBase">
    <w:name w:val="TOC Base"/>
    <w:rsid w:val="00021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B92"/>
    <w:pPr>
      <w:tabs>
        <w:tab w:val="right" w:leader="dot" w:pos="9072"/>
      </w:tabs>
      <w:spacing w:before="40" w:after="40"/>
      <w:ind w:left="284"/>
    </w:pPr>
    <w:rPr>
      <w:rFonts w:ascii="Times New Roman" w:hAnsi="Times New Roman"/>
    </w:rPr>
  </w:style>
  <w:style w:type="paragraph" w:styleId="TOC1">
    <w:name w:val="toc 1"/>
    <w:basedOn w:val="TOCBase"/>
    <w:next w:val="Normal"/>
    <w:rsid w:val="00021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B92"/>
    <w:rPr>
      <w:rFonts w:ascii="Times New Roman" w:eastAsia="Times New Roman" w:hAnsi="Times New Roman" w:cs="Times New Roman"/>
      <w:sz w:val="16"/>
      <w:lang w:eastAsia="en-US"/>
    </w:rPr>
  </w:style>
  <w:style w:type="paragraph" w:styleId="Title">
    <w:name w:val="Title"/>
    <w:basedOn w:val="HeadingBase"/>
    <w:link w:val="TitleChar"/>
    <w:qFormat/>
    <w:rsid w:val="00021B92"/>
    <w:pPr>
      <w:spacing w:before="5040"/>
      <w:jc w:val="center"/>
    </w:pPr>
    <w:rPr>
      <w:sz w:val="48"/>
      <w:szCs w:val="72"/>
      <w:lang w:val="en-US"/>
    </w:rPr>
  </w:style>
  <w:style w:type="character" w:customStyle="1" w:styleId="TitleChar">
    <w:name w:val="Title Char"/>
    <w:basedOn w:val="DefaultParagraphFont"/>
    <w:link w:val="Title"/>
    <w:rsid w:val="00021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B92"/>
    <w:pPr>
      <w:tabs>
        <w:tab w:val="left" w:pos="3600"/>
        <w:tab w:val="left" w:pos="3958"/>
      </w:tabs>
    </w:pPr>
  </w:style>
  <w:style w:type="paragraph" w:styleId="List">
    <w:name w:val="List"/>
    <w:basedOn w:val="BodyText"/>
    <w:next w:val="BodyText"/>
    <w:rsid w:val="00021B92"/>
    <w:pPr>
      <w:tabs>
        <w:tab w:val="left" w:pos="340"/>
      </w:tabs>
      <w:spacing w:before="60" w:after="60"/>
      <w:ind w:left="340" w:hanging="340"/>
    </w:pPr>
  </w:style>
  <w:style w:type="paragraph" w:customStyle="1" w:styleId="Note">
    <w:name w:val="Note"/>
    <w:basedOn w:val="BodyText"/>
    <w:rsid w:val="00021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B92"/>
    <w:pPr>
      <w:framePr w:wrap="auto" w:hAnchor="text" w:y="6049"/>
    </w:pPr>
    <w:rPr>
      <w:color w:val="000000"/>
      <w:sz w:val="40"/>
    </w:rPr>
  </w:style>
  <w:style w:type="paragraph" w:customStyle="1" w:styleId="TOCTitle">
    <w:name w:val="TOCTitle"/>
    <w:basedOn w:val="Heading1"/>
    <w:rsid w:val="00021B92"/>
    <w:pPr>
      <w:spacing w:after="240"/>
      <w:jc w:val="center"/>
      <w:outlineLvl w:val="9"/>
    </w:pPr>
    <w:rPr>
      <w:caps/>
    </w:rPr>
  </w:style>
  <w:style w:type="paragraph" w:customStyle="1" w:styleId="Version">
    <w:name w:val="Version"/>
    <w:rsid w:val="00021B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B92"/>
    <w:pPr>
      <w:numPr>
        <w:numId w:val="12"/>
      </w:numPr>
      <w:tabs>
        <w:tab w:val="clear" w:pos="680"/>
      </w:tabs>
    </w:pPr>
  </w:style>
  <w:style w:type="paragraph" w:styleId="Index1">
    <w:name w:val="index 1"/>
    <w:basedOn w:val="Normal"/>
    <w:next w:val="Normal"/>
    <w:semiHidden/>
    <w:rsid w:val="00021B92"/>
    <w:pPr>
      <w:keepNext w:val="0"/>
      <w:tabs>
        <w:tab w:val="right" w:pos="4176"/>
      </w:tabs>
      <w:ind w:left="198" w:hanging="198"/>
    </w:pPr>
    <w:rPr>
      <w:rFonts w:ascii="Garamond" w:hAnsi="Garamond"/>
    </w:rPr>
  </w:style>
  <w:style w:type="paragraph" w:styleId="IndexHeading">
    <w:name w:val="index heading"/>
    <w:basedOn w:val="Normal"/>
    <w:next w:val="Index1"/>
    <w:semiHidden/>
    <w:rsid w:val="00021B92"/>
    <w:pPr>
      <w:spacing w:before="120" w:after="120"/>
    </w:pPr>
    <w:rPr>
      <w:rFonts w:ascii="Arial" w:hAnsi="Arial"/>
      <w:b/>
      <w:color w:val="918585"/>
      <w:sz w:val="24"/>
    </w:rPr>
  </w:style>
  <w:style w:type="paragraph" w:styleId="Header">
    <w:name w:val="header"/>
    <w:basedOn w:val="Normal"/>
    <w:link w:val="HeaderChar"/>
    <w:rsid w:val="00021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B92"/>
    <w:rPr>
      <w:rFonts w:ascii="Times New Roman" w:eastAsia="Times New Roman" w:hAnsi="Times New Roman" w:cs="Times New Roman"/>
      <w:sz w:val="16"/>
      <w:szCs w:val="20"/>
      <w:lang w:val="en-GB" w:eastAsia="en-US"/>
    </w:rPr>
  </w:style>
  <w:style w:type="paragraph" w:customStyle="1" w:styleId="Chapter">
    <w:name w:val="Chapter"/>
    <w:basedOn w:val="Normal"/>
    <w:rsid w:val="00021B92"/>
    <w:pPr>
      <w:spacing w:before="240"/>
    </w:pPr>
    <w:rPr>
      <w:rFonts w:ascii="Times New Roman" w:hAnsi="Times New Roman"/>
      <w:smallCaps/>
      <w:spacing w:val="80"/>
      <w:sz w:val="28"/>
    </w:rPr>
  </w:style>
  <w:style w:type="paragraph" w:customStyle="1" w:styleId="InChapter">
    <w:name w:val="InChapter"/>
    <w:basedOn w:val="Heading3"/>
    <w:rsid w:val="00021B92"/>
    <w:pPr>
      <w:spacing w:after="240"/>
      <w:outlineLvl w:val="9"/>
    </w:pPr>
    <w:rPr>
      <w:noProof/>
    </w:rPr>
  </w:style>
  <w:style w:type="paragraph" w:styleId="Index2">
    <w:name w:val="index 2"/>
    <w:basedOn w:val="Normal"/>
    <w:next w:val="Normal"/>
    <w:semiHidden/>
    <w:rsid w:val="00021B92"/>
    <w:pPr>
      <w:tabs>
        <w:tab w:val="right" w:pos="4176"/>
      </w:tabs>
      <w:ind w:left="568" w:hanging="284"/>
    </w:pPr>
    <w:rPr>
      <w:rFonts w:ascii="Garamond" w:hAnsi="Garamond"/>
    </w:rPr>
  </w:style>
  <w:style w:type="paragraph" w:customStyle="1" w:styleId="Byline">
    <w:name w:val="Byline"/>
    <w:rsid w:val="00021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B92"/>
    <w:pPr>
      <w:tabs>
        <w:tab w:val="clear" w:pos="3600"/>
        <w:tab w:val="clear" w:pos="3958"/>
      </w:tabs>
      <w:jc w:val="right"/>
    </w:pPr>
  </w:style>
  <w:style w:type="paragraph" w:styleId="Caption">
    <w:name w:val="caption"/>
    <w:basedOn w:val="BodyText"/>
    <w:next w:val="Normal"/>
    <w:qFormat/>
    <w:rsid w:val="00021B92"/>
    <w:pPr>
      <w:framePr w:w="2268" w:hSpace="181" w:vSpace="181" w:wrap="around" w:vAnchor="text" w:hAnchor="page" w:x="1135" w:y="285" w:anchorLock="1"/>
    </w:pPr>
    <w:rPr>
      <w:i/>
    </w:rPr>
  </w:style>
  <w:style w:type="paragraph" w:customStyle="1" w:styleId="MiniTOCTitle">
    <w:name w:val="MiniTOCTitle"/>
    <w:basedOn w:val="Heading4"/>
    <w:rsid w:val="00021B92"/>
    <w:pPr>
      <w:spacing w:before="240"/>
      <w:outlineLvl w:val="9"/>
    </w:pPr>
    <w:rPr>
      <w:noProof/>
      <w:sz w:val="24"/>
    </w:rPr>
  </w:style>
  <w:style w:type="paragraph" w:customStyle="1" w:styleId="MiniTOCItem">
    <w:name w:val="MiniTOCItem"/>
    <w:basedOn w:val="ListBullet"/>
    <w:rsid w:val="00021B92"/>
    <w:pPr>
      <w:numPr>
        <w:numId w:val="0"/>
      </w:numPr>
      <w:tabs>
        <w:tab w:val="right" w:leader="dot" w:pos="6521"/>
      </w:tabs>
      <w:spacing w:before="0" w:after="0"/>
    </w:pPr>
  </w:style>
  <w:style w:type="paragraph" w:customStyle="1" w:styleId="TOFTitle">
    <w:name w:val="TOFTitle"/>
    <w:basedOn w:val="TOCTitle"/>
    <w:rsid w:val="00021B92"/>
  </w:style>
  <w:style w:type="paragraph" w:styleId="TableofFigures">
    <w:name w:val="table of figures"/>
    <w:basedOn w:val="Normal"/>
    <w:next w:val="Normal"/>
    <w:semiHidden/>
    <w:rsid w:val="00021B92"/>
    <w:pPr>
      <w:tabs>
        <w:tab w:val="right" w:leader="dot" w:pos="9072"/>
      </w:tabs>
      <w:ind w:left="970" w:hanging="403"/>
    </w:pPr>
    <w:rPr>
      <w:rFonts w:ascii="Times New Roman" w:hAnsi="Times New Roman"/>
      <w:b/>
    </w:rPr>
  </w:style>
  <w:style w:type="paragraph" w:styleId="ListNumber">
    <w:name w:val="List Number"/>
    <w:basedOn w:val="List"/>
    <w:rsid w:val="00021B92"/>
    <w:pPr>
      <w:numPr>
        <w:numId w:val="14"/>
      </w:numPr>
      <w:tabs>
        <w:tab w:val="clear" w:pos="340"/>
      </w:tabs>
    </w:pPr>
  </w:style>
  <w:style w:type="character" w:customStyle="1" w:styleId="WingdingSymbols">
    <w:name w:val="Wingding Symbols"/>
    <w:rsid w:val="00021B92"/>
    <w:rPr>
      <w:rFonts w:ascii="Wingdings" w:hAnsi="Wingdings"/>
    </w:rPr>
  </w:style>
  <w:style w:type="paragraph" w:customStyle="1" w:styleId="TableHeading">
    <w:name w:val="Table Heading"/>
    <w:basedOn w:val="HeadingBase"/>
    <w:rsid w:val="00021B92"/>
    <w:pPr>
      <w:keepLines/>
      <w:pBdr>
        <w:bottom w:val="single" w:sz="6" w:space="1" w:color="918585"/>
      </w:pBdr>
      <w:spacing w:before="240"/>
    </w:pPr>
  </w:style>
  <w:style w:type="character" w:customStyle="1" w:styleId="HotSpot">
    <w:name w:val="HotSpot"/>
    <w:rsid w:val="00021B92"/>
    <w:rPr>
      <w:color w:val="0033CC"/>
      <w:u w:val="none"/>
    </w:rPr>
  </w:style>
  <w:style w:type="paragraph" w:customStyle="1" w:styleId="BodyTextRight">
    <w:name w:val="Body Text Right"/>
    <w:basedOn w:val="BodyText"/>
    <w:rsid w:val="00021B92"/>
    <w:pPr>
      <w:spacing w:before="0" w:after="0"/>
      <w:jc w:val="right"/>
    </w:pPr>
  </w:style>
  <w:style w:type="paragraph" w:styleId="Index3">
    <w:name w:val="index 3"/>
    <w:basedOn w:val="ListNumber2"/>
    <w:next w:val="Normal"/>
    <w:semiHidden/>
    <w:rsid w:val="00021B92"/>
    <w:pPr>
      <w:numPr>
        <w:numId w:val="0"/>
      </w:numPr>
      <w:tabs>
        <w:tab w:val="right" w:leader="dot" w:pos="4176"/>
      </w:tabs>
    </w:pPr>
  </w:style>
  <w:style w:type="paragraph" w:styleId="ListNumber2">
    <w:name w:val="List Number 2"/>
    <w:basedOn w:val="List2"/>
    <w:rsid w:val="00021B92"/>
    <w:pPr>
      <w:numPr>
        <w:numId w:val="9"/>
      </w:numPr>
      <w:tabs>
        <w:tab w:val="clear" w:pos="1060"/>
      </w:tabs>
    </w:pPr>
  </w:style>
  <w:style w:type="paragraph" w:customStyle="1" w:styleId="MarginNote">
    <w:name w:val="Margin Note"/>
    <w:basedOn w:val="BodyText"/>
    <w:rsid w:val="00021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B92"/>
    <w:rPr>
      <w:sz w:val="32"/>
    </w:rPr>
  </w:style>
  <w:style w:type="paragraph" w:customStyle="1" w:styleId="HeadingProcedure">
    <w:name w:val="Heading Procedure"/>
    <w:basedOn w:val="HeadingBase"/>
    <w:next w:val="Normal"/>
    <w:rsid w:val="00021B92"/>
    <w:pPr>
      <w:tabs>
        <w:tab w:val="left" w:pos="0"/>
      </w:tabs>
      <w:spacing w:before="120" w:after="60"/>
    </w:pPr>
    <w:rPr>
      <w:i/>
      <w:color w:val="918585"/>
      <w:sz w:val="22"/>
    </w:rPr>
  </w:style>
  <w:style w:type="paragraph" w:customStyle="1" w:styleId="TableBodyText">
    <w:name w:val="Table Body Text"/>
    <w:basedOn w:val="BodyText"/>
    <w:rsid w:val="00021B92"/>
    <w:pPr>
      <w:spacing w:before="60" w:after="60"/>
    </w:pPr>
  </w:style>
  <w:style w:type="paragraph" w:styleId="ListContinue">
    <w:name w:val="List Continue"/>
    <w:basedOn w:val="List"/>
    <w:rsid w:val="00021B92"/>
    <w:pPr>
      <w:ind w:firstLine="0"/>
    </w:pPr>
  </w:style>
  <w:style w:type="paragraph" w:customStyle="1" w:styleId="ListNote">
    <w:name w:val="List Note"/>
    <w:basedOn w:val="List"/>
    <w:rsid w:val="00021B92"/>
    <w:pPr>
      <w:pBdr>
        <w:top w:val="single" w:sz="6" w:space="2" w:color="918585"/>
        <w:bottom w:val="single" w:sz="6" w:space="2" w:color="918585"/>
      </w:pBdr>
      <w:tabs>
        <w:tab w:val="left" w:pos="1021"/>
      </w:tabs>
      <w:ind w:firstLine="0"/>
    </w:pPr>
  </w:style>
  <w:style w:type="paragraph" w:customStyle="1" w:styleId="Warning">
    <w:name w:val="Warning"/>
    <w:basedOn w:val="BodyText"/>
    <w:rsid w:val="00021B92"/>
    <w:pPr>
      <w:shd w:val="clear" w:color="auto" w:fill="D9D9D9"/>
      <w:tabs>
        <w:tab w:val="left" w:pos="992"/>
      </w:tabs>
      <w:ind w:left="119" w:right="119"/>
    </w:pPr>
    <w:rPr>
      <w:sz w:val="20"/>
    </w:rPr>
  </w:style>
  <w:style w:type="paragraph" w:customStyle="1" w:styleId="MarginIcons">
    <w:name w:val="Margin Icons"/>
    <w:basedOn w:val="BodyText"/>
    <w:rsid w:val="00021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B92"/>
    <w:rPr>
      <w:rFonts w:ascii="Courier New" w:hAnsi="Courier New"/>
    </w:rPr>
  </w:style>
  <w:style w:type="paragraph" w:customStyle="1" w:styleId="NoteBullet">
    <w:name w:val="Note Bullet"/>
    <w:basedOn w:val="Note"/>
    <w:rsid w:val="00021B92"/>
    <w:pPr>
      <w:tabs>
        <w:tab w:val="clear" w:pos="680"/>
      </w:tabs>
      <w:spacing w:before="60" w:after="60"/>
    </w:pPr>
  </w:style>
  <w:style w:type="paragraph" w:customStyle="1" w:styleId="SubHeading2">
    <w:name w:val="SubHeading2"/>
    <w:basedOn w:val="HeadingBase"/>
    <w:rsid w:val="00021B92"/>
    <w:pPr>
      <w:spacing w:before="240" w:after="60"/>
    </w:pPr>
    <w:rPr>
      <w:sz w:val="20"/>
    </w:rPr>
  </w:style>
  <w:style w:type="paragraph" w:customStyle="1" w:styleId="SubHeading1">
    <w:name w:val="SubHeading1"/>
    <w:basedOn w:val="HeadingBase"/>
    <w:rsid w:val="00021B92"/>
    <w:pPr>
      <w:spacing w:before="240" w:after="60"/>
    </w:pPr>
    <w:rPr>
      <w:color w:val="918585"/>
      <w:sz w:val="22"/>
    </w:rPr>
  </w:style>
  <w:style w:type="paragraph" w:customStyle="1" w:styleId="SideHeading">
    <w:name w:val="Side Heading"/>
    <w:basedOn w:val="HeadingBase"/>
    <w:rsid w:val="00021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B92"/>
    <w:pPr>
      <w:numPr>
        <w:numId w:val="10"/>
      </w:numPr>
    </w:pPr>
  </w:style>
  <w:style w:type="paragraph" w:styleId="PlainText">
    <w:name w:val="Plain Text"/>
    <w:basedOn w:val="Normal"/>
    <w:link w:val="PlainTextChar"/>
    <w:rsid w:val="00021B92"/>
    <w:rPr>
      <w:sz w:val="20"/>
    </w:rPr>
  </w:style>
  <w:style w:type="character" w:customStyle="1" w:styleId="PlainTextChar">
    <w:name w:val="Plain Text Char"/>
    <w:basedOn w:val="DefaultParagraphFont"/>
    <w:link w:val="PlainText"/>
    <w:rsid w:val="00021B92"/>
    <w:rPr>
      <w:rFonts w:ascii="Courier New" w:eastAsia="Times New Roman" w:hAnsi="Courier New" w:cs="Times New Roman"/>
      <w:sz w:val="20"/>
      <w:szCs w:val="20"/>
      <w:lang w:eastAsia="en-US"/>
    </w:rPr>
  </w:style>
  <w:style w:type="character" w:customStyle="1" w:styleId="MenuOption">
    <w:name w:val="Menu Option"/>
    <w:basedOn w:val="DefaultParagraphFont"/>
    <w:rsid w:val="00021B92"/>
    <w:rPr>
      <w:b/>
      <w:smallCaps/>
    </w:rPr>
  </w:style>
  <w:style w:type="paragraph" w:customStyle="1" w:styleId="TableListNumber">
    <w:name w:val="Table List Number"/>
    <w:basedOn w:val="ListNumber"/>
    <w:rsid w:val="00021B92"/>
    <w:pPr>
      <w:numPr>
        <w:numId w:val="0"/>
      </w:numPr>
    </w:pPr>
  </w:style>
  <w:style w:type="paragraph" w:styleId="TOC4">
    <w:name w:val="toc 4"/>
    <w:basedOn w:val="TOCBase"/>
    <w:next w:val="Normal"/>
    <w:semiHidden/>
    <w:rsid w:val="00021B92"/>
    <w:pPr>
      <w:tabs>
        <w:tab w:val="right" w:leader="dot" w:pos="9071"/>
      </w:tabs>
      <w:ind w:left="1701"/>
    </w:pPr>
  </w:style>
  <w:style w:type="paragraph" w:customStyle="1" w:styleId="ListAlpha">
    <w:name w:val="List Alpha"/>
    <w:basedOn w:val="List"/>
    <w:rsid w:val="00021B92"/>
    <w:pPr>
      <w:numPr>
        <w:numId w:val="8"/>
      </w:numPr>
    </w:pPr>
  </w:style>
  <w:style w:type="paragraph" w:customStyle="1" w:styleId="ListAlpha2">
    <w:name w:val="List Alpha 2"/>
    <w:basedOn w:val="List2"/>
    <w:rsid w:val="00021B92"/>
    <w:pPr>
      <w:numPr>
        <w:numId w:val="7"/>
      </w:numPr>
    </w:pPr>
  </w:style>
  <w:style w:type="paragraph" w:styleId="List2">
    <w:name w:val="List 2"/>
    <w:basedOn w:val="BodyText"/>
    <w:rsid w:val="00021B92"/>
    <w:pPr>
      <w:tabs>
        <w:tab w:val="left" w:pos="680"/>
      </w:tabs>
      <w:spacing w:before="60" w:after="60"/>
      <w:ind w:left="680" w:hanging="340"/>
    </w:pPr>
  </w:style>
  <w:style w:type="paragraph" w:styleId="List3">
    <w:name w:val="List 3"/>
    <w:basedOn w:val="BodyText"/>
    <w:rsid w:val="00021B92"/>
    <w:pPr>
      <w:tabs>
        <w:tab w:val="left" w:pos="1021"/>
      </w:tabs>
      <w:spacing w:before="60" w:after="60"/>
      <w:ind w:left="1020" w:hanging="340"/>
    </w:pPr>
  </w:style>
  <w:style w:type="paragraph" w:styleId="List4">
    <w:name w:val="List 4"/>
    <w:basedOn w:val="BodyText"/>
    <w:rsid w:val="00021B92"/>
    <w:pPr>
      <w:tabs>
        <w:tab w:val="left" w:pos="1361"/>
      </w:tabs>
      <w:spacing w:before="60" w:after="60"/>
      <w:ind w:left="1361" w:hanging="340"/>
    </w:pPr>
  </w:style>
  <w:style w:type="paragraph" w:styleId="List5">
    <w:name w:val="List 5"/>
    <w:basedOn w:val="BodyText"/>
    <w:rsid w:val="00021B92"/>
    <w:pPr>
      <w:tabs>
        <w:tab w:val="left" w:pos="1701"/>
      </w:tabs>
      <w:spacing w:before="60" w:after="60"/>
      <w:ind w:left="1701" w:hanging="340"/>
    </w:pPr>
  </w:style>
  <w:style w:type="paragraph" w:styleId="ListBullet3">
    <w:name w:val="List Bullet 3"/>
    <w:basedOn w:val="List3"/>
    <w:rsid w:val="00021B92"/>
    <w:pPr>
      <w:numPr>
        <w:numId w:val="13"/>
      </w:numPr>
      <w:tabs>
        <w:tab w:val="clear" w:pos="1021"/>
      </w:tabs>
      <w:ind w:left="1037" w:hanging="357"/>
    </w:pPr>
  </w:style>
  <w:style w:type="paragraph" w:styleId="ListBullet4">
    <w:name w:val="List Bullet 4"/>
    <w:basedOn w:val="List4"/>
    <w:rsid w:val="00021B92"/>
    <w:pPr>
      <w:numPr>
        <w:numId w:val="2"/>
      </w:numPr>
      <w:tabs>
        <w:tab w:val="clear" w:pos="1361"/>
      </w:tabs>
    </w:pPr>
  </w:style>
  <w:style w:type="paragraph" w:styleId="ListBullet5">
    <w:name w:val="List Bullet 5"/>
    <w:basedOn w:val="List5"/>
    <w:rsid w:val="00021B92"/>
    <w:pPr>
      <w:numPr>
        <w:numId w:val="3"/>
      </w:numPr>
    </w:pPr>
  </w:style>
  <w:style w:type="paragraph" w:styleId="ListContinue2">
    <w:name w:val="List Continue 2"/>
    <w:basedOn w:val="List2"/>
    <w:rsid w:val="00021B92"/>
    <w:pPr>
      <w:ind w:firstLine="0"/>
    </w:pPr>
  </w:style>
  <w:style w:type="paragraph" w:styleId="ListContinue3">
    <w:name w:val="List Continue 3"/>
    <w:basedOn w:val="List3"/>
    <w:rsid w:val="00021B92"/>
    <w:pPr>
      <w:ind w:left="1021" w:firstLine="0"/>
    </w:pPr>
  </w:style>
  <w:style w:type="paragraph" w:styleId="ListContinue4">
    <w:name w:val="List Continue 4"/>
    <w:basedOn w:val="List4"/>
    <w:rsid w:val="00021B92"/>
    <w:pPr>
      <w:ind w:firstLine="0"/>
    </w:pPr>
  </w:style>
  <w:style w:type="paragraph" w:styleId="ListContinue5">
    <w:name w:val="List Continue 5"/>
    <w:basedOn w:val="List5"/>
    <w:rsid w:val="00021B92"/>
    <w:pPr>
      <w:ind w:firstLine="0"/>
    </w:pPr>
  </w:style>
  <w:style w:type="paragraph" w:styleId="ListNumber3">
    <w:name w:val="List Number 3"/>
    <w:basedOn w:val="List3"/>
    <w:rsid w:val="00021B92"/>
    <w:pPr>
      <w:numPr>
        <w:numId w:val="4"/>
      </w:numPr>
    </w:pPr>
  </w:style>
  <w:style w:type="paragraph" w:styleId="ListNumber4">
    <w:name w:val="List Number 4"/>
    <w:basedOn w:val="List4"/>
    <w:rsid w:val="00021B92"/>
    <w:pPr>
      <w:numPr>
        <w:numId w:val="5"/>
      </w:numPr>
    </w:pPr>
  </w:style>
  <w:style w:type="paragraph" w:styleId="ListNumber5">
    <w:name w:val="List Number 5"/>
    <w:basedOn w:val="List5"/>
    <w:rsid w:val="00021B92"/>
    <w:pPr>
      <w:numPr>
        <w:numId w:val="6"/>
      </w:numPr>
    </w:pPr>
  </w:style>
  <w:style w:type="paragraph" w:styleId="BlockText">
    <w:name w:val="Block Text"/>
    <w:basedOn w:val="Normal"/>
    <w:rsid w:val="00021B92"/>
    <w:pPr>
      <w:spacing w:after="120"/>
      <w:ind w:left="1440" w:right="1440"/>
    </w:pPr>
  </w:style>
  <w:style w:type="character" w:customStyle="1" w:styleId="Subscript">
    <w:name w:val="Subscript"/>
    <w:basedOn w:val="DefaultParagraphFont"/>
    <w:rsid w:val="00021B92"/>
    <w:rPr>
      <w:sz w:val="16"/>
      <w:vertAlign w:val="subscript"/>
    </w:rPr>
  </w:style>
  <w:style w:type="character" w:customStyle="1" w:styleId="Superscript">
    <w:name w:val="Superscript"/>
    <w:basedOn w:val="DefaultParagraphFont"/>
    <w:rsid w:val="00021B92"/>
    <w:rPr>
      <w:sz w:val="16"/>
      <w:vertAlign w:val="superscript"/>
    </w:rPr>
  </w:style>
  <w:style w:type="character" w:customStyle="1" w:styleId="Symbols">
    <w:name w:val="Symbols"/>
    <w:basedOn w:val="DefaultParagraphFont"/>
    <w:rsid w:val="00021B92"/>
    <w:rPr>
      <w:rFonts w:ascii="Symbol" w:hAnsi="Symbol"/>
    </w:rPr>
  </w:style>
  <w:style w:type="character" w:customStyle="1" w:styleId="MenuOptions">
    <w:name w:val="Menu Options"/>
    <w:basedOn w:val="DefaultParagraphFont"/>
    <w:rsid w:val="00021B92"/>
    <w:rPr>
      <w:rFonts w:ascii="Arial Narrow" w:hAnsi="Arial Narrow"/>
      <w:smallCaps/>
    </w:rPr>
  </w:style>
  <w:style w:type="character" w:customStyle="1" w:styleId="Buttons">
    <w:name w:val="Buttons"/>
    <w:basedOn w:val="DefaultParagraphFont"/>
    <w:rsid w:val="00021B92"/>
    <w:rPr>
      <w:b/>
    </w:rPr>
  </w:style>
  <w:style w:type="character" w:customStyle="1" w:styleId="Underlined">
    <w:name w:val="Underlined"/>
    <w:basedOn w:val="DefaultParagraphFont"/>
    <w:rsid w:val="00021B92"/>
    <w:rPr>
      <w:u w:val="single"/>
    </w:rPr>
  </w:style>
  <w:style w:type="paragraph" w:customStyle="1" w:styleId="TableBodyTextRight">
    <w:name w:val="Table Body Text Right"/>
    <w:basedOn w:val="TableBodyText"/>
    <w:rsid w:val="00021B92"/>
    <w:pPr>
      <w:widowControl w:val="0"/>
      <w:autoSpaceDE w:val="0"/>
      <w:autoSpaceDN w:val="0"/>
      <w:adjustRightInd w:val="0"/>
      <w:jc w:val="right"/>
    </w:pPr>
    <w:rPr>
      <w:rFonts w:cs="Arial"/>
      <w:szCs w:val="18"/>
    </w:rPr>
  </w:style>
  <w:style w:type="paragraph" w:customStyle="1" w:styleId="CopyrightText">
    <w:name w:val="Copyright Text"/>
    <w:basedOn w:val="BodyText"/>
    <w:rsid w:val="00021B92"/>
    <w:rPr>
      <w:sz w:val="18"/>
    </w:rPr>
  </w:style>
  <w:style w:type="paragraph" w:customStyle="1" w:styleId="BodySmallRight">
    <w:name w:val="Body Small Right"/>
    <w:basedOn w:val="BodyTextRight"/>
    <w:rsid w:val="00021B92"/>
    <w:rPr>
      <w:sz w:val="18"/>
      <w:szCs w:val="18"/>
    </w:rPr>
  </w:style>
  <w:style w:type="paragraph" w:customStyle="1" w:styleId="MarginEdition">
    <w:name w:val="Margin Edition"/>
    <w:basedOn w:val="MarginNote"/>
    <w:rsid w:val="00021B92"/>
    <w:pPr>
      <w:spacing w:before="0" w:after="0"/>
    </w:pPr>
    <w:rPr>
      <w:rFonts w:ascii="Times New Roman" w:hAnsi="Times New Roman"/>
      <w:color w:val="999999"/>
    </w:rPr>
  </w:style>
  <w:style w:type="paragraph" w:customStyle="1" w:styleId="Spacer">
    <w:name w:val="Spacer"/>
    <w:basedOn w:val="Normal"/>
    <w:rsid w:val="00021B92"/>
    <w:rPr>
      <w:sz w:val="2"/>
      <w:szCs w:val="2"/>
    </w:rPr>
  </w:style>
  <w:style w:type="character" w:customStyle="1" w:styleId="Small">
    <w:name w:val="Small"/>
    <w:basedOn w:val="DefaultParagraphFont"/>
    <w:rsid w:val="00021B92"/>
    <w:rPr>
      <w:sz w:val="16"/>
    </w:rPr>
  </w:style>
  <w:style w:type="paragraph" w:customStyle="1" w:styleId="WideTable">
    <w:name w:val="Wide Table"/>
    <w:basedOn w:val="Normal"/>
    <w:rsid w:val="00021B92"/>
    <w:pPr>
      <w:ind w:left="-1418"/>
    </w:pPr>
    <w:rPr>
      <w:sz w:val="2"/>
      <w:szCs w:val="2"/>
    </w:rPr>
  </w:style>
  <w:style w:type="character" w:styleId="PageNumber">
    <w:name w:val="page number"/>
    <w:basedOn w:val="DefaultParagraphFont"/>
    <w:rsid w:val="00021B92"/>
  </w:style>
  <w:style w:type="paragraph" w:styleId="Quote">
    <w:name w:val="Quote"/>
    <w:basedOn w:val="Heading1"/>
    <w:link w:val="QuoteChar"/>
    <w:qFormat/>
    <w:rsid w:val="00021B92"/>
    <w:rPr>
      <w:b w:val="0"/>
      <w:sz w:val="72"/>
      <w:szCs w:val="72"/>
      <w:lang w:val="en-NZ"/>
    </w:rPr>
  </w:style>
  <w:style w:type="character" w:customStyle="1" w:styleId="QuoteChar">
    <w:name w:val="Quote Char"/>
    <w:basedOn w:val="DefaultParagraphFont"/>
    <w:link w:val="Quote"/>
    <w:rsid w:val="00021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B92"/>
    <w:pPr>
      <w:pageBreakBefore/>
    </w:pPr>
  </w:style>
  <w:style w:type="paragraph" w:customStyle="1" w:styleId="Border">
    <w:name w:val="Border"/>
    <w:basedOn w:val="Normal"/>
    <w:qFormat/>
    <w:rsid w:val="00021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B92"/>
    <w:rPr>
      <w:b/>
      <w:bCs/>
      <w:i/>
      <w:iCs/>
      <w:color w:val="auto"/>
    </w:rPr>
  </w:style>
  <w:style w:type="paragraph" w:styleId="IntenseQuote">
    <w:name w:val="Intense Quote"/>
    <w:basedOn w:val="Normal"/>
    <w:next w:val="Normal"/>
    <w:link w:val="IntenseQuoteChar"/>
    <w:uiPriority w:val="30"/>
    <w:qFormat/>
    <w:rsid w:val="00021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B92"/>
    <w:rPr>
      <w:smallCaps/>
      <w:color w:val="auto"/>
      <w:u w:val="single"/>
    </w:rPr>
  </w:style>
  <w:style w:type="character" w:styleId="IntenseReference">
    <w:name w:val="Intense Reference"/>
    <w:basedOn w:val="DefaultParagraphFont"/>
    <w:uiPriority w:val="32"/>
    <w:qFormat/>
    <w:rsid w:val="00021B92"/>
    <w:rPr>
      <w:b/>
      <w:bCs/>
      <w:smallCaps/>
      <w:color w:val="auto"/>
      <w:spacing w:val="5"/>
      <w:u w:val="single"/>
    </w:rPr>
  </w:style>
  <w:style w:type="paragraph" w:customStyle="1" w:styleId="2ColumnHeading">
    <w:name w:val="2Column Heading"/>
    <w:basedOn w:val="BodyText"/>
    <w:qFormat/>
    <w:rsid w:val="00021B92"/>
    <w:pPr>
      <w:spacing w:after="60"/>
      <w:ind w:left="-2268"/>
    </w:pPr>
    <w:rPr>
      <w:b/>
    </w:rPr>
  </w:style>
  <w:style w:type="paragraph" w:customStyle="1" w:styleId="Heading1TOC">
    <w:name w:val="Heading1 TOC"/>
    <w:basedOn w:val="Normal"/>
    <w:qFormat/>
    <w:rsid w:val="00021B92"/>
    <w:pPr>
      <w:spacing w:before="240" w:after="120"/>
    </w:pPr>
    <w:rPr>
      <w:rFonts w:ascii="Times New Roman" w:hAnsi="Times New Roman"/>
      <w:b/>
      <w:sz w:val="32"/>
    </w:rPr>
  </w:style>
  <w:style w:type="paragraph" w:customStyle="1" w:styleId="Heading2TOC">
    <w:name w:val="Heading2 TOC"/>
    <w:basedOn w:val="Normal"/>
    <w:qFormat/>
    <w:rsid w:val="00021B92"/>
    <w:pPr>
      <w:spacing w:before="240" w:after="60"/>
    </w:pPr>
    <w:rPr>
      <w:rFonts w:ascii="Times New Roman" w:hAnsi="Times New Roman"/>
      <w:b/>
      <w:sz w:val="28"/>
    </w:rPr>
  </w:style>
  <w:style w:type="character" w:customStyle="1" w:styleId="Underline">
    <w:name w:val="Underline"/>
    <w:basedOn w:val="DefaultParagraphFont"/>
    <w:qFormat/>
    <w:rsid w:val="00021B92"/>
    <w:rPr>
      <w:u w:val="single"/>
    </w:rPr>
  </w:style>
  <w:style w:type="character" w:customStyle="1" w:styleId="BoldandItalics">
    <w:name w:val="Bold and Italics"/>
    <w:qFormat/>
    <w:rsid w:val="00021B92"/>
    <w:rPr>
      <w:b/>
      <w:i/>
      <w:u w:val="none"/>
    </w:rPr>
  </w:style>
  <w:style w:type="paragraph" w:styleId="BalloonText">
    <w:name w:val="Balloon Text"/>
    <w:basedOn w:val="Normal"/>
    <w:link w:val="BalloonTextChar"/>
    <w:rsid w:val="00021B92"/>
    <w:rPr>
      <w:rFonts w:ascii="Tahoma" w:hAnsi="Tahoma" w:cs="Tahoma"/>
      <w:sz w:val="16"/>
      <w:szCs w:val="16"/>
    </w:rPr>
  </w:style>
  <w:style w:type="character" w:customStyle="1" w:styleId="BalloonTextChar">
    <w:name w:val="Balloon Text Char"/>
    <w:basedOn w:val="DefaultParagraphFont"/>
    <w:link w:val="BalloonText"/>
    <w:rsid w:val="00021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B92"/>
    <w:rPr>
      <w:b/>
      <w:color w:val="660033"/>
      <w:spacing w:val="0"/>
    </w:rPr>
  </w:style>
  <w:style w:type="paragraph" w:customStyle="1" w:styleId="Nameditemlist">
    <w:name w:val="Named item list"/>
    <w:basedOn w:val="BodyText"/>
    <w:qFormat/>
    <w:rsid w:val="00021B92"/>
    <w:pPr>
      <w:tabs>
        <w:tab w:val="left" w:pos="2835"/>
      </w:tabs>
      <w:ind w:left="2835" w:hanging="2835"/>
    </w:pPr>
  </w:style>
  <w:style w:type="paragraph" w:customStyle="1" w:styleId="BodyTextnopadding">
    <w:name w:val="Body Text no padding"/>
    <w:basedOn w:val="BodyText"/>
    <w:qFormat/>
    <w:rsid w:val="00021B92"/>
    <w:pPr>
      <w:spacing w:before="0" w:after="0"/>
    </w:pPr>
  </w:style>
  <w:style w:type="paragraph" w:customStyle="1" w:styleId="BodyTextBold">
    <w:name w:val="Body Text Bold"/>
    <w:basedOn w:val="BodyText"/>
    <w:qFormat/>
    <w:rsid w:val="00021B92"/>
    <w:rPr>
      <w:b/>
    </w:rPr>
  </w:style>
  <w:style w:type="character" w:styleId="Hyperlink">
    <w:name w:val="Hyperlink"/>
    <w:basedOn w:val="DefaultParagraphFont"/>
    <w:uiPriority w:val="99"/>
    <w:unhideWhenUsed/>
    <w:rsid w:val="00AD1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6811</Characters>
  <Application>Microsoft Office Word</Application>
  <DocSecurity>0</DocSecurity>
  <Lines>194</Lines>
  <Paragraphs>118</Paragraphs>
  <ScaleCrop>false</ScaleCrop>
  <Company>Author-it Software Corporation Ltd.</Company>
  <LinksUpToDate>false</LinksUpToDate>
  <CharactersWithSpaces>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TLIX5020 Develop and review configuration management plans</dc:title>
  <dc:subject>Approved</dc:subject>
  <dc:creator>Industry Skills Australia</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