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767" w:rsidP="008F6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TLIX5015 Establish supply chains</w:t>
      </w:r>
      <w:r>
        <w:fldChar w:fldCharType="end"/>
      </w:r>
    </w:p>
    <w:p w:rsidR="008F6767" w:rsidP="008F6767">
      <w:pPr>
        <w:pStyle w:val="Version"/>
        <w:sectPr w:rsidSect="004A3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3CC" w:rsidP="004A33CC">
      <w:pPr>
        <w:pStyle w:val="SuperHeading"/>
      </w:pPr>
      <w:r w:rsidRPr="004A33CC">
        <w:t>TLIX5015 Establish supply chains</w:t>
      </w:r>
    </w:p>
    <w:p w:rsidR="00000000" w:rsidRPr="004A33CC" w:rsidP="004A33CC">
      <w:pPr>
        <w:pStyle w:val="Heading1"/>
      </w:pPr>
      <w:bookmarkStart w:id="1" w:name="O_754943"/>
      <w:bookmarkEnd w:id="1"/>
      <w:r w:rsidRPr="004A33CC">
        <w:t>Modification History</w:t>
      </w:r>
    </w:p>
    <w:p w:rsidR="008F6767" w:rsidP="008F6767">
      <w:pPr>
        <w:pStyle w:val="BodyText"/>
      </w:pPr>
      <w:r w:rsidRPr="004A33CC">
        <w:t>Release 1. This is the first release of this unit of competency in the TLI Transport and Logistics Training Package.</w:t>
      </w:r>
    </w:p>
    <w:p w:rsidR="00000000" w:rsidRPr="004A33CC" w:rsidP="004A33CC">
      <w:pPr>
        <w:pStyle w:val="Heading1"/>
      </w:pPr>
      <w:bookmarkStart w:id="2" w:name="O_754944"/>
      <w:bookmarkEnd w:id="2"/>
      <w:r w:rsidRPr="004A33C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t>This unit involves the skills and knowledge required to establish and develop a strategy</w:t>
            </w:r>
            <w:r w:rsidRPr="004A33CC">
              <w:t xml:space="preserve"> and model for supply chain management in accordance with relevant organisational policy and procedures. </w:t>
            </w:r>
          </w:p>
          <w:p w:rsidR="00000000" w:rsidRPr="004A33CC" w:rsidP="004A33CC">
            <w:pPr>
              <w:pStyle w:val="BodyText"/>
            </w:pPr>
            <w:r w:rsidRPr="004A33CC">
              <w:t xml:space="preserve">Establishing and developing supply chains in the materiel system are integral supports to the stated capability requirement. </w:t>
            </w:r>
          </w:p>
          <w:p w:rsidR="00000000" w:rsidRPr="004A33CC" w:rsidP="004A33CC">
            <w:pPr>
              <w:pStyle w:val="BodyText"/>
            </w:pPr>
            <w:r w:rsidRPr="004A33CC">
              <w:t xml:space="preserve">This unit was developed </w:t>
            </w:r>
            <w:r w:rsidRPr="004A33CC">
              <w:t>for materiel logisticians working within materiel logistics but is applicable to individuals in broader logistics roles.</w:t>
            </w:r>
          </w:p>
          <w:p w:rsidR="00000000" w:rsidRPr="004A33CC" w:rsidP="004A33CC">
            <w:pPr>
              <w:pStyle w:val="BodyText"/>
            </w:pPr>
            <w:r w:rsidRPr="004A33CC">
              <w:t>Typically these individuals work independently or as part of a team under direct and/or indirect supervision, use discretion and judgem</w:t>
            </w:r>
            <w:r w:rsidRPr="004A33CC">
              <w:t>ent, and take responsibility for the quality of their outputs. All activities are carried out in accordance with relevant organisational policy and procedures.</w:t>
            </w:r>
          </w:p>
          <w:p w:rsidR="00000000" w:rsidRPr="004A33CC" w:rsidP="004A33CC">
            <w:pPr>
              <w:pStyle w:val="BodyText"/>
            </w:pPr>
            <w:r w:rsidRPr="004A33CC">
              <w:t>No licensing, legislative or certification requirements apply to this unit at the time of public</w:t>
            </w:r>
            <w:r w:rsidRPr="004A33CC">
              <w:t>ation.</w:t>
            </w:r>
          </w:p>
        </w:tc>
      </w:tr>
    </w:tbl>
    <w:p w:rsidR="008F6767" w:rsidP="004A33CC">
      <w:pPr>
        <w:pStyle w:val="BodyText"/>
      </w:pPr>
    </w:p>
    <w:p w:rsidR="008F6767" w:rsidP="004A33CC">
      <w:pPr>
        <w:pStyle w:val="BodyText"/>
      </w:pPr>
    </w:p>
    <w:p w:rsidR="00000000" w:rsidRPr="004A33CC" w:rsidP="004A33CC">
      <w:pPr>
        <w:pStyle w:val="Heading1"/>
      </w:pPr>
      <w:bookmarkStart w:id="3" w:name="O_754945"/>
      <w:bookmarkEnd w:id="3"/>
      <w:r w:rsidRPr="004A33CC">
        <w:t>Pre-requisite Unit</w:t>
      </w:r>
    </w:p>
    <w:p w:rsidR="008F6767" w:rsidP="008F6767">
      <w:pPr>
        <w:pStyle w:val="BodyText"/>
      </w:pPr>
      <w:r w:rsidRPr="004A33CC">
        <w:t>Not applicable.</w:t>
      </w:r>
    </w:p>
    <w:p w:rsidR="00000000" w:rsidRPr="004A33CC" w:rsidP="004A33CC">
      <w:pPr>
        <w:pStyle w:val="Heading1"/>
      </w:pPr>
      <w:bookmarkStart w:id="4" w:name="O_754946"/>
      <w:bookmarkEnd w:id="4"/>
      <w:r w:rsidRPr="004A33CC">
        <w:t>Competency Field</w:t>
      </w:r>
    </w:p>
    <w:p w:rsidR="008F6767" w:rsidP="008F6767">
      <w:pPr>
        <w:pStyle w:val="BodyText"/>
      </w:pPr>
      <w:r w:rsidRPr="004A33CC">
        <w:t>X – Logistics</w:t>
      </w:r>
    </w:p>
    <w:p w:rsidR="00000000" w:rsidRPr="004A33CC" w:rsidP="004A33CC">
      <w:pPr>
        <w:pStyle w:val="Heading1"/>
      </w:pPr>
      <w:bookmarkStart w:id="5" w:name="O_754947"/>
      <w:bookmarkEnd w:id="5"/>
      <w:r w:rsidRPr="004A33CC">
        <w:t>Unit Sector</w:t>
      </w:r>
    </w:p>
    <w:p w:rsidR="008F6767" w:rsidP="008F6767">
      <w:pPr>
        <w:pStyle w:val="BodyText"/>
      </w:pPr>
      <w:r w:rsidRPr="004A33CC">
        <w:t>Not applicable.</w:t>
      </w:r>
    </w:p>
    <w:p w:rsidR="00000000" w:rsidRPr="004A33CC" w:rsidP="004A33CC">
      <w:pPr>
        <w:pStyle w:val="Heading1"/>
      </w:pPr>
      <w:bookmarkStart w:id="6" w:name="O_754948"/>
      <w:bookmarkEnd w:id="6"/>
      <w:r w:rsidRPr="004A33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Performance criteria describe the performance needed to demonstrate achievement of the element.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rPr>
                <w:rStyle w:val="SpecialBold"/>
              </w:rPr>
              <w:t>Determine supply chain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Supply chain components are identified and their links and inter-relationships are analysed in accordance with organ</w:t>
            </w:r>
            <w:r w:rsidRPr="004A33CC">
              <w:t>isational policy and procedures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Communication, data access, information sharing and technology requirements for an integrated supply chain are determined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Requirements for collaborative planning, forecasting and tailored supply chains are identified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Supply chain requirements are documented in accordance with organisational policy and procedures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rPr>
                <w:rStyle w:val="SpecialBold"/>
              </w:rPr>
              <w:t>Determine  supply chain management strategy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 xml:space="preserve">Outsourcing, choice of suppliers and partners, reshaping contractual relationships and the performance of the entire supply chain rather than individual supply chain segments are covered by strategies 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Matching supplier capability to customer requir</w:t>
            </w:r>
            <w:r w:rsidRPr="004A33CC">
              <w:t>ements including strategies to optimise electronic information sharing and inventory risk management, and to minimise environmental impacts is included in strategies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Strategies to build effective customer supplier relationships are identified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 xml:space="preserve">Customer satisfaction requirements across the supply chain continuum are included in performance management strategies 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Strategic alliances, electronic business and electronic data interchange are included in supply chain management strategies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</w:t>
            </w:r>
            <w:r w:rsidRPr="004A33CC">
              <w:t>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Legal, ethical, environmental and security issues relating to supply chain management are addressed in supply chain management strategies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Integration of supply chain processes into existing business processes is included in strategy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rPr>
                <w:rStyle w:val="SpecialBold"/>
              </w:rPr>
              <w:t>Develop su</w:t>
            </w:r>
            <w:r w:rsidRPr="004A33CC">
              <w:rPr>
                <w:rStyle w:val="SpecialBold"/>
              </w:rPr>
              <w:t>pply chain management model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Supply chain management options are researched, and strengths and weaknesses of each option are identified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Supply chain management models are i</w:t>
            </w:r>
            <w:r w:rsidRPr="004A33CC">
              <w:t xml:space="preserve">nvestigated and their requirements are analysed and compared with supply chain capability and culture 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Model for supply chain management is developed that meets organisational needs including information flow, collaborative planning and forecasting,</w:t>
            </w:r>
            <w:r w:rsidRPr="004A33CC">
              <w:t xml:space="preserve"> in accordance with the organisation’s supply chain management strategy</w:t>
            </w:r>
          </w:p>
        </w:tc>
      </w:tr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3CC">
            <w:pPr>
              <w:pStyle w:val="BodyText"/>
              <w:rPr>
                <w:lang w:val="en-NZ"/>
              </w:rPr>
            </w:pPr>
            <w:r w:rsidRPr="004A33C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t>Supply chain management model is developed to support reduced inventory footprints, operating costs, faster cycle times and greater customer satisfaction rates</w:t>
            </w:r>
          </w:p>
        </w:tc>
      </w:tr>
    </w:tbl>
    <w:p w:rsidR="008F6767" w:rsidP="004A33CC">
      <w:pPr>
        <w:pStyle w:val="BodyText"/>
      </w:pPr>
    </w:p>
    <w:p w:rsidR="008F6767" w:rsidP="004A33CC">
      <w:pPr>
        <w:pStyle w:val="BodyText"/>
      </w:pPr>
    </w:p>
    <w:p w:rsidR="00000000" w:rsidRPr="004A33CC" w:rsidP="004A33CC">
      <w:pPr>
        <w:pStyle w:val="Heading1"/>
      </w:pPr>
      <w:bookmarkStart w:id="7" w:name="O_754949"/>
      <w:bookmarkEnd w:id="7"/>
      <w:r w:rsidRPr="004A33CC">
        <w:t>Foundation Skills</w:t>
      </w:r>
    </w:p>
    <w:p w:rsidR="008F6767" w:rsidP="008F6767">
      <w:pPr>
        <w:pStyle w:val="BodyText"/>
      </w:pPr>
      <w:r w:rsidRPr="004A33CC">
        <w:t>Foundation skills essential to performance are explicit in the performance criteria of this unit of competency.</w:t>
      </w:r>
    </w:p>
    <w:p w:rsidR="00000000" w:rsidRPr="004A33CC" w:rsidP="004A33CC">
      <w:pPr>
        <w:pStyle w:val="Heading1"/>
      </w:pPr>
      <w:bookmarkStart w:id="8" w:name="O_754950"/>
      <w:bookmarkEnd w:id="8"/>
      <w:r w:rsidRPr="004A33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F6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3CC" w:rsidP="004A33CC">
            <w:pPr>
              <w:pStyle w:val="BodyText"/>
            </w:pPr>
            <w:r w:rsidRPr="004A33CC">
              <w:t>Range is restricted to essential operating conditions and any other variables es</w:t>
            </w:r>
            <w:r w:rsidRPr="004A33CC">
              <w:t>sential to the work environment.</w:t>
            </w:r>
          </w:p>
          <w:p w:rsidR="00000000" w:rsidRPr="004A33CC" w:rsidP="004A33CC">
            <w:pPr>
              <w:pStyle w:val="BodyText"/>
            </w:pPr>
            <w:r w:rsidRPr="004A33CC">
              <w:t>Non-essential conditions can be found in the Companion Volume Implementation Guide.</w:t>
            </w:r>
          </w:p>
        </w:tc>
      </w:tr>
    </w:tbl>
    <w:p w:rsidR="008F6767" w:rsidP="004A33CC">
      <w:pPr>
        <w:pStyle w:val="BodyText"/>
      </w:pPr>
    </w:p>
    <w:p w:rsidR="008F6767" w:rsidP="004A33CC">
      <w:pPr>
        <w:pStyle w:val="BodyText"/>
      </w:pPr>
    </w:p>
    <w:p w:rsidR="00000000" w:rsidRPr="004A33CC" w:rsidP="004A33CC">
      <w:pPr>
        <w:pStyle w:val="Heading1"/>
      </w:pPr>
      <w:bookmarkStart w:id="9" w:name="O_754951"/>
      <w:bookmarkEnd w:id="9"/>
      <w:r w:rsidRPr="004A33CC">
        <w:t>Unit Mapping Information</w:t>
      </w:r>
    </w:p>
    <w:p w:rsidR="008F6767" w:rsidP="008F6767">
      <w:pPr>
        <w:pStyle w:val="BodyText"/>
      </w:pPr>
      <w:r w:rsidRPr="004A33CC">
        <w:t>This unit replaces and is equivalent to TLIX5015A Establish supply chains.</w:t>
      </w:r>
    </w:p>
    <w:p w:rsidR="00000000" w:rsidRPr="004A33CC" w:rsidP="004A33CC">
      <w:pPr>
        <w:pStyle w:val="Heading1"/>
      </w:pPr>
      <w:bookmarkStart w:id="10" w:name="O_754958"/>
      <w:bookmarkEnd w:id="10"/>
      <w:r w:rsidRPr="004A33CC">
        <w:t>Links</w:t>
      </w:r>
    </w:p>
    <w:p w:rsidR="00000000" w:rsidRPr="004A33CC" w:rsidP="008F6767">
      <w:pPr>
        <w:pStyle w:val="BodyText"/>
      </w:pPr>
      <w:r w:rsidRPr="004A33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75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33CC" w:rsidP="004A33CC"/>
    <w:sectPr w:rsidSect="004A3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CC" w:rsidRPr="008F6767" w:rsidP="008F6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67" w:rsidP="004A3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767" w:rsidP="004A3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6767" w:rsidP="004A3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3CC" w:rsidRPr="008F6767" w:rsidP="008F6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767" w:rsidRPr="002D2AF8" w:rsidP="004A3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TLIX5015 Establish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6767" w:rsidP="004A3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3CC"/>
  </w:style>
  <w:style w:type="character" w:customStyle="1" w:styleId="Heading1Char">
    <w:name w:val="Heading 1 Char"/>
    <w:basedOn w:val="DefaultParagraphFont"/>
    <w:link w:val="Heading1"/>
    <w:rsid w:val="004A3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3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33CC"/>
    <w:rPr>
      <w:b/>
      <w:spacing w:val="0"/>
    </w:rPr>
  </w:style>
  <w:style w:type="paragraph" w:customStyle="1" w:styleId="SuperHeading">
    <w:name w:val="SuperHeading"/>
    <w:basedOn w:val="Normal"/>
    <w:rsid w:val="004A3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3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3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3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3CC"/>
    <w:rPr>
      <w:i/>
    </w:rPr>
  </w:style>
  <w:style w:type="paragraph" w:styleId="Caption">
    <w:name w:val="caption"/>
    <w:basedOn w:val="BodyText"/>
    <w:next w:val="Normal"/>
    <w:qFormat/>
    <w:rsid w:val="004A3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3CC"/>
  </w:style>
  <w:style w:type="paragraph" w:styleId="TableofFigures">
    <w:name w:val="table of figures"/>
    <w:basedOn w:val="Normal"/>
    <w:next w:val="Normal"/>
    <w:semiHidden/>
    <w:rsid w:val="004A3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3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33CC"/>
    <w:rPr>
      <w:rFonts w:ascii="Wingdings" w:hAnsi="Wingdings"/>
    </w:rPr>
  </w:style>
  <w:style w:type="paragraph" w:customStyle="1" w:styleId="TableHeading">
    <w:name w:val="Table Heading"/>
    <w:basedOn w:val="HeadingBase"/>
    <w:rsid w:val="004A3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3CC"/>
    <w:rPr>
      <w:color w:val="0033CC"/>
      <w:u w:val="none"/>
    </w:rPr>
  </w:style>
  <w:style w:type="paragraph" w:customStyle="1" w:styleId="BodyTextRight">
    <w:name w:val="Body Text Right"/>
    <w:basedOn w:val="BodyText"/>
    <w:rsid w:val="004A3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3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3CC"/>
    <w:rPr>
      <w:sz w:val="32"/>
    </w:rPr>
  </w:style>
  <w:style w:type="paragraph" w:customStyle="1" w:styleId="HeadingProcedure">
    <w:name w:val="Heading Procedure"/>
    <w:basedOn w:val="HeadingBase"/>
    <w:next w:val="Normal"/>
    <w:rsid w:val="004A3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3CC"/>
    <w:pPr>
      <w:spacing w:before="60" w:after="60"/>
    </w:pPr>
  </w:style>
  <w:style w:type="paragraph" w:styleId="ListContinue">
    <w:name w:val="List Continue"/>
    <w:basedOn w:val="List"/>
    <w:rsid w:val="004A33CC"/>
    <w:pPr>
      <w:ind w:firstLine="0"/>
    </w:pPr>
  </w:style>
  <w:style w:type="paragraph" w:customStyle="1" w:styleId="ListNote">
    <w:name w:val="List Note"/>
    <w:basedOn w:val="List"/>
    <w:rsid w:val="004A3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3CC"/>
    <w:rPr>
      <w:rFonts w:ascii="Courier New" w:hAnsi="Courier New"/>
    </w:rPr>
  </w:style>
  <w:style w:type="paragraph" w:customStyle="1" w:styleId="NoteBullet">
    <w:name w:val="Note Bullet"/>
    <w:basedOn w:val="Note"/>
    <w:rsid w:val="004A3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3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3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3CC"/>
    <w:rPr>
      <w:b/>
      <w:smallCaps/>
    </w:rPr>
  </w:style>
  <w:style w:type="paragraph" w:customStyle="1" w:styleId="TableListNumber">
    <w:name w:val="Table List Number"/>
    <w:basedOn w:val="ListNumber"/>
    <w:rsid w:val="004A3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3CC"/>
    <w:pPr>
      <w:numPr>
        <w:numId w:val="7"/>
      </w:numPr>
    </w:pPr>
  </w:style>
  <w:style w:type="paragraph" w:customStyle="1" w:styleId="ListAlpha2">
    <w:name w:val="List Alpha 2"/>
    <w:basedOn w:val="List2"/>
    <w:rsid w:val="004A33CC"/>
    <w:pPr>
      <w:numPr>
        <w:numId w:val="6"/>
      </w:numPr>
    </w:pPr>
  </w:style>
  <w:style w:type="paragraph" w:styleId="List2">
    <w:name w:val="List 2"/>
    <w:basedOn w:val="BodyText"/>
    <w:rsid w:val="004A3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3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3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33CC"/>
    <w:pPr>
      <w:numPr>
        <w:numId w:val="2"/>
      </w:numPr>
    </w:pPr>
  </w:style>
  <w:style w:type="paragraph" w:styleId="ListContinue2">
    <w:name w:val="List Continue 2"/>
    <w:basedOn w:val="List2"/>
    <w:rsid w:val="004A33CC"/>
    <w:pPr>
      <w:ind w:firstLine="0"/>
    </w:pPr>
  </w:style>
  <w:style w:type="paragraph" w:styleId="ListContinue3">
    <w:name w:val="List Continue 3"/>
    <w:basedOn w:val="List3"/>
    <w:rsid w:val="004A33CC"/>
    <w:pPr>
      <w:ind w:left="1021" w:firstLine="0"/>
    </w:pPr>
  </w:style>
  <w:style w:type="paragraph" w:styleId="ListContinue4">
    <w:name w:val="List Continue 4"/>
    <w:basedOn w:val="List4"/>
    <w:rsid w:val="004A33CC"/>
    <w:pPr>
      <w:ind w:firstLine="0"/>
    </w:pPr>
  </w:style>
  <w:style w:type="paragraph" w:styleId="ListContinue5">
    <w:name w:val="List Continue 5"/>
    <w:basedOn w:val="List5"/>
    <w:rsid w:val="004A33CC"/>
    <w:pPr>
      <w:ind w:firstLine="0"/>
    </w:pPr>
  </w:style>
  <w:style w:type="paragraph" w:styleId="ListNumber3">
    <w:name w:val="List Number 3"/>
    <w:basedOn w:val="List3"/>
    <w:rsid w:val="004A33CC"/>
    <w:pPr>
      <w:numPr>
        <w:numId w:val="3"/>
      </w:numPr>
    </w:pPr>
  </w:style>
  <w:style w:type="paragraph" w:styleId="ListNumber4">
    <w:name w:val="List Number 4"/>
    <w:basedOn w:val="List4"/>
    <w:rsid w:val="004A33CC"/>
    <w:pPr>
      <w:numPr>
        <w:numId w:val="4"/>
      </w:numPr>
    </w:pPr>
  </w:style>
  <w:style w:type="paragraph" w:styleId="ListNumber5">
    <w:name w:val="List Number 5"/>
    <w:basedOn w:val="List5"/>
    <w:rsid w:val="004A33CC"/>
    <w:pPr>
      <w:numPr>
        <w:numId w:val="5"/>
      </w:numPr>
    </w:pPr>
  </w:style>
  <w:style w:type="paragraph" w:styleId="BlockText">
    <w:name w:val="Block Text"/>
    <w:basedOn w:val="Normal"/>
    <w:rsid w:val="004A3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3CC"/>
    <w:rPr>
      <w:sz w:val="16"/>
      <w:vertAlign w:val="superscript"/>
    </w:rPr>
  </w:style>
  <w:style w:type="character" w:customStyle="1" w:styleId="Symbols">
    <w:name w:val="Symbols"/>
    <w:basedOn w:val="DefaultParagraphFont"/>
    <w:rsid w:val="004A33CC"/>
    <w:rPr>
      <w:rFonts w:ascii="Symbol" w:hAnsi="Symbol"/>
    </w:rPr>
  </w:style>
  <w:style w:type="character" w:customStyle="1" w:styleId="MenuOptions">
    <w:name w:val="Menu Options"/>
    <w:basedOn w:val="DefaultParagraphFont"/>
    <w:rsid w:val="004A3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3CC"/>
    <w:rPr>
      <w:b/>
    </w:rPr>
  </w:style>
  <w:style w:type="character" w:customStyle="1" w:styleId="Underlined">
    <w:name w:val="Underlined"/>
    <w:basedOn w:val="DefaultParagraphFont"/>
    <w:rsid w:val="004A33CC"/>
    <w:rPr>
      <w:u w:val="single"/>
    </w:rPr>
  </w:style>
  <w:style w:type="paragraph" w:customStyle="1" w:styleId="TableBodyTextRight">
    <w:name w:val="Table Body Text Right"/>
    <w:basedOn w:val="TableBodyText"/>
    <w:rsid w:val="004A3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3CC"/>
    <w:rPr>
      <w:sz w:val="18"/>
    </w:rPr>
  </w:style>
  <w:style w:type="paragraph" w:customStyle="1" w:styleId="BodySmallRight">
    <w:name w:val="Body Small Right"/>
    <w:basedOn w:val="BodyTextRight"/>
    <w:rsid w:val="004A33CC"/>
    <w:rPr>
      <w:sz w:val="18"/>
      <w:szCs w:val="18"/>
    </w:rPr>
  </w:style>
  <w:style w:type="paragraph" w:customStyle="1" w:styleId="MarginEdition">
    <w:name w:val="Margin Edition"/>
    <w:basedOn w:val="MarginNote"/>
    <w:rsid w:val="004A3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3CC"/>
    <w:rPr>
      <w:sz w:val="2"/>
      <w:szCs w:val="2"/>
    </w:rPr>
  </w:style>
  <w:style w:type="character" w:customStyle="1" w:styleId="Small">
    <w:name w:val="Small"/>
    <w:basedOn w:val="DefaultParagraphFont"/>
    <w:rsid w:val="004A33CC"/>
    <w:rPr>
      <w:sz w:val="16"/>
    </w:rPr>
  </w:style>
  <w:style w:type="paragraph" w:customStyle="1" w:styleId="WideTable">
    <w:name w:val="Wide Table"/>
    <w:basedOn w:val="Normal"/>
    <w:rsid w:val="004A3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3CC"/>
  </w:style>
  <w:style w:type="paragraph" w:styleId="Quote">
    <w:name w:val="Quote"/>
    <w:basedOn w:val="Heading1"/>
    <w:link w:val="QuoteChar"/>
    <w:qFormat/>
    <w:rsid w:val="004A3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3CC"/>
    <w:pPr>
      <w:pageBreakBefore/>
    </w:pPr>
  </w:style>
  <w:style w:type="paragraph" w:customStyle="1" w:styleId="Border">
    <w:name w:val="Border"/>
    <w:basedOn w:val="Normal"/>
    <w:qFormat/>
    <w:rsid w:val="004A3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3CC"/>
    <w:rPr>
      <w:u w:val="single"/>
    </w:rPr>
  </w:style>
  <w:style w:type="character" w:customStyle="1" w:styleId="BoldandItalics">
    <w:name w:val="Bold and Italics"/>
    <w:qFormat/>
    <w:rsid w:val="004A33CC"/>
    <w:rPr>
      <w:b/>
      <w:i/>
      <w:u w:val="none"/>
    </w:rPr>
  </w:style>
  <w:style w:type="paragraph" w:styleId="BalloonText">
    <w:name w:val="Balloon Text"/>
    <w:basedOn w:val="Normal"/>
    <w:link w:val="BalloonTextChar"/>
    <w:rsid w:val="004A3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3CC"/>
    <w:pPr>
      <w:spacing w:before="0" w:after="0"/>
    </w:pPr>
  </w:style>
  <w:style w:type="paragraph" w:customStyle="1" w:styleId="BodyTextBold">
    <w:name w:val="Body Text Bold"/>
    <w:basedOn w:val="BodyText"/>
    <w:qFormat/>
    <w:rsid w:val="004A33CC"/>
    <w:rPr>
      <w:b/>
    </w:rPr>
  </w:style>
  <w:style w:type="character" w:styleId="Hyperlink">
    <w:name w:val="Hyperlink"/>
    <w:basedOn w:val="DefaultParagraphFont"/>
    <w:uiPriority w:val="99"/>
    <w:unhideWhenUsed/>
    <w:rsid w:val="008F6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3829</Characters>
  <Application>Microsoft Office Word</Application>
  <DocSecurity>0</DocSecurity>
  <Lines>141</Lines>
  <Paragraphs>78</Paragraphs>
  <ScaleCrop>false</ScaleCrop>
  <Company>Author-it Software Corporation Ltd.</Company>
  <LinksUpToDate>false</LinksUpToDate>
  <CharactersWithSpaces>4335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TLIX5015 Establish supply chains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