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E2E" w:rsidP="00F45E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TLIX5004 Develop integrated logistics support processes and procedures</w:t>
      </w:r>
      <w:r>
        <w:fldChar w:fldCharType="end"/>
      </w:r>
    </w:p>
    <w:p w:rsidR="00F45E2E" w:rsidP="00F45E2E">
      <w:pPr>
        <w:pStyle w:val="Version"/>
        <w:sectPr w:rsidSect="00BA00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069" w:rsidP="00BA0069">
      <w:pPr>
        <w:pStyle w:val="SuperHeading"/>
      </w:pPr>
      <w:r w:rsidRPr="00BA0069">
        <w:t>TLIX5004 Develop integrated logistics support processes and procedures</w:t>
      </w:r>
    </w:p>
    <w:p w:rsidR="00000000" w:rsidRPr="00BA0069" w:rsidP="00BA0069">
      <w:pPr>
        <w:pStyle w:val="Heading1"/>
      </w:pPr>
      <w:bookmarkStart w:id="1" w:name="O_754810"/>
      <w:bookmarkEnd w:id="1"/>
      <w:r w:rsidRPr="00BA0069">
        <w:t>Modification History</w:t>
      </w:r>
    </w:p>
    <w:p w:rsidR="00F45E2E" w:rsidP="00F45E2E">
      <w:pPr>
        <w:pStyle w:val="BodyText"/>
      </w:pPr>
      <w:r w:rsidRPr="00BA0069">
        <w:t>Release 1. This is the first release of this unit of competency in the TLI Transport and Logistics Training Package.</w:t>
      </w:r>
    </w:p>
    <w:p w:rsidR="00000000" w:rsidRPr="00BA0069" w:rsidP="00BA0069">
      <w:pPr>
        <w:pStyle w:val="Heading1"/>
      </w:pPr>
      <w:bookmarkStart w:id="2" w:name="O_754811"/>
      <w:bookmarkEnd w:id="2"/>
      <w:r w:rsidRPr="00BA006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69" w:rsidP="00BA0069">
            <w:pPr>
              <w:pStyle w:val="BodyText"/>
            </w:pPr>
            <w:r w:rsidRPr="00BA0069">
              <w:t xml:space="preserve">This unit involves the skills and knowledge required to develop integrated logistics support processes and procedures in accordance with relevant organisational policy and procedures. </w:t>
            </w:r>
          </w:p>
          <w:p w:rsidR="00000000" w:rsidRPr="00BA0069" w:rsidP="00BA0069">
            <w:pPr>
              <w:pStyle w:val="BodyText"/>
            </w:pPr>
            <w:r w:rsidRPr="00BA0069">
              <w:t>It includes anticipating and confirming the need for development, the d</w:t>
            </w:r>
            <w:r w:rsidRPr="00BA0069">
              <w:t xml:space="preserve">evelopment processes, gathering and analysing information, determining direction, and drafting, releasing and promoting the processes. It also includes the initial development of procedures integral to the processes. </w:t>
            </w:r>
          </w:p>
          <w:p w:rsidR="00000000" w:rsidRPr="00BA0069" w:rsidP="00BA0069">
            <w:pPr>
              <w:pStyle w:val="BodyText"/>
            </w:pPr>
            <w:r w:rsidRPr="00BA0069">
              <w:t>This unit was developed for integrated</w:t>
            </w:r>
            <w:r w:rsidRPr="00BA0069">
              <w:t xml:space="preserve"> logistics support specialists working within materiel logistics but is applicable to individuals in broader logistics roles.</w:t>
            </w:r>
          </w:p>
          <w:p w:rsidR="00000000" w:rsidRPr="00BA0069" w:rsidP="00BA0069">
            <w:pPr>
              <w:pStyle w:val="BodyText"/>
            </w:pPr>
            <w:r w:rsidRPr="00BA0069">
              <w:t>Typically these individuals work independently or as part of a team under direct and/or indirect supervision, use discretion and j</w:t>
            </w:r>
            <w:r w:rsidRPr="00BA0069">
              <w:t>udgement, and take responsibility for the quality of their outputs.</w:t>
            </w:r>
          </w:p>
          <w:p w:rsidR="00000000" w:rsidRPr="00BA0069" w:rsidP="00BA0069">
            <w:pPr>
              <w:pStyle w:val="BodyText"/>
            </w:pPr>
            <w:r w:rsidRPr="00BA0069">
              <w:t>No licensing, legislative or certification requirements apply to this unit at the time of publication.</w:t>
            </w:r>
          </w:p>
        </w:tc>
      </w:tr>
    </w:tbl>
    <w:p w:rsidR="00F45E2E" w:rsidP="00BA0069">
      <w:pPr>
        <w:pStyle w:val="BodyText"/>
      </w:pPr>
    </w:p>
    <w:p w:rsidR="00F45E2E" w:rsidP="00BA0069">
      <w:pPr>
        <w:pStyle w:val="BodyText"/>
      </w:pPr>
    </w:p>
    <w:p w:rsidR="00000000" w:rsidRPr="00BA0069" w:rsidP="00BA0069">
      <w:pPr>
        <w:pStyle w:val="Heading1"/>
      </w:pPr>
      <w:bookmarkStart w:id="3" w:name="O_754812"/>
      <w:bookmarkEnd w:id="3"/>
      <w:r w:rsidRPr="00BA0069">
        <w:t>Pre-requisite Unit</w:t>
      </w:r>
    </w:p>
    <w:p w:rsidR="00F45E2E" w:rsidP="00F45E2E">
      <w:pPr>
        <w:pStyle w:val="BodyText"/>
      </w:pPr>
      <w:r w:rsidRPr="00BA0069">
        <w:t>Not applicable.</w:t>
      </w:r>
    </w:p>
    <w:p w:rsidR="00000000" w:rsidRPr="00BA0069" w:rsidP="00BA0069">
      <w:pPr>
        <w:pStyle w:val="Heading1"/>
      </w:pPr>
      <w:bookmarkStart w:id="4" w:name="O_754813"/>
      <w:bookmarkEnd w:id="4"/>
      <w:r w:rsidRPr="00BA0069">
        <w:t>Competency F</w:t>
      </w:r>
      <w:r w:rsidRPr="00BA0069">
        <w:t>ield</w:t>
      </w:r>
    </w:p>
    <w:p w:rsidR="00F45E2E" w:rsidP="00F45E2E">
      <w:pPr>
        <w:pStyle w:val="BodyText"/>
      </w:pPr>
      <w:r w:rsidRPr="00BA0069">
        <w:t>X – Logistics</w:t>
      </w:r>
    </w:p>
    <w:p w:rsidR="00000000" w:rsidRPr="00BA0069" w:rsidP="00BA0069">
      <w:pPr>
        <w:pStyle w:val="Heading1"/>
      </w:pPr>
      <w:bookmarkStart w:id="5" w:name="O_754814"/>
      <w:bookmarkEnd w:id="5"/>
      <w:r w:rsidRPr="00BA0069">
        <w:t>Unit Sector</w:t>
      </w:r>
    </w:p>
    <w:p w:rsidR="00F45E2E" w:rsidP="00F45E2E">
      <w:pPr>
        <w:pStyle w:val="BodyText"/>
      </w:pPr>
      <w:r w:rsidRPr="00BA0069">
        <w:t>Not applicable.</w:t>
      </w:r>
    </w:p>
    <w:p w:rsidR="00000000" w:rsidRPr="00BA0069" w:rsidP="00BA0069">
      <w:pPr>
        <w:pStyle w:val="Heading1"/>
      </w:pPr>
      <w:bookmarkStart w:id="6" w:name="O_754815"/>
      <w:bookmarkEnd w:id="6"/>
      <w:r w:rsidRPr="00BA006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Performance criteria describe the performance needed to demonstrate achievement of the element.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69" w:rsidP="00BA0069">
            <w:pPr>
              <w:pStyle w:val="BodyText"/>
            </w:pPr>
            <w:r w:rsidRPr="00BA006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rPr>
                <w:rStyle w:val="SpecialBold"/>
              </w:rPr>
              <w:t>Analyse integrated logistics support environment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Operation of integrated logistics support environment is analysed, and key factors and issues are identified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External and internal factors likely to impact on integrated logistics support needs and capabilities are continually monitored and analysed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Stakeholders are identified and consulted on materiel and materiel systems needs and capabilities, in accord</w:t>
            </w:r>
            <w:r w:rsidRPr="00BA0069">
              <w:t>ance with organisational policy and procedures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Legislation and organisational policy and procedures that may impact on integrated logistics support activity are identified and analysed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69" w:rsidP="00BA0069">
            <w:pPr>
              <w:pStyle w:val="BodyText"/>
            </w:pPr>
            <w:r w:rsidRPr="00BA006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rPr>
                <w:rStyle w:val="SpecialBold"/>
              </w:rPr>
              <w:t>Develop integrated logistics support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Consultation and negotiation with stakeholders is conducted in accordance with organisational policy and procedures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Integrated logistics support processes for materiel and materiel systems are developed and documented in accordance with logisti</w:t>
            </w:r>
            <w:r w:rsidRPr="00BA0069">
              <w:t>cs support analysis principles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Costing analysis of options is undertaken and documented in accordance with organisational policy and procedures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Procedures required for integrated logistics support processes are identified, developed and documented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Processes and procedures are approved in accordance with organisational policy and procedures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69" w:rsidP="00BA0069">
            <w:pPr>
              <w:pStyle w:val="BodyText"/>
            </w:pPr>
            <w:r w:rsidRPr="00BA006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rPr>
                <w:rStyle w:val="SpecialBold"/>
              </w:rPr>
              <w:t>Communicate integrated logistics support process</w:t>
            </w:r>
            <w:r w:rsidRPr="00BA0069">
              <w:rPr>
                <w:rStyle w:val="SpecialBold"/>
              </w:rPr>
              <w:t>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Stakeholders are fully informed of outcomes, in accordance with organisational policy and procedures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Integrated logistics support processes and procedures are promulgated in accordance with organisational policy and procedures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Policy and procedures are promoted in accordance with relevant organisational policy and procedures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69" w:rsidP="00BA0069">
            <w:pPr>
              <w:pStyle w:val="BodyText"/>
            </w:pPr>
            <w:r w:rsidRPr="00BA006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rPr>
                <w:rStyle w:val="SpecialBold"/>
              </w:rPr>
              <w:t>Review integrated logistics support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 xml:space="preserve">Performance systems are monitored and analysed to assess impact of processes and </w:t>
            </w:r>
            <w:r w:rsidRPr="00BA0069">
              <w:t>procedures in achieving plans and targets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Integrated logistics support processes and procedures are reviewed in accordance with organisational policy and procedures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Required changes to integrated logistics support processes and procedures are identified and prepared in accordance with relevant organisational policy and procedures</w:t>
            </w:r>
          </w:p>
        </w:tc>
      </w:tr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69">
            <w:pPr>
              <w:pStyle w:val="BodyText"/>
              <w:rPr>
                <w:lang w:val="en-NZ"/>
              </w:rPr>
            </w:pPr>
            <w:r w:rsidRPr="00BA0069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69" w:rsidP="00BA0069">
            <w:pPr>
              <w:pStyle w:val="BodyText"/>
            </w:pPr>
            <w:r w:rsidRPr="00BA0069">
              <w:t>Amendments to integrated logistics support policy and procedures are documented an</w:t>
            </w:r>
            <w:r w:rsidRPr="00BA0069">
              <w:t>d promulgated to relevant stakeholders in accordance with relevant organisational policy and procedures</w:t>
            </w:r>
          </w:p>
        </w:tc>
      </w:tr>
    </w:tbl>
    <w:p w:rsidR="00F45E2E" w:rsidP="00BA0069">
      <w:pPr>
        <w:pStyle w:val="BodyText"/>
      </w:pPr>
    </w:p>
    <w:p w:rsidR="00F45E2E" w:rsidP="00BA0069">
      <w:pPr>
        <w:pStyle w:val="BodyText"/>
      </w:pPr>
    </w:p>
    <w:p w:rsidR="00000000" w:rsidRPr="00BA0069" w:rsidP="00BA0069">
      <w:pPr>
        <w:pStyle w:val="Heading1"/>
      </w:pPr>
      <w:bookmarkStart w:id="7" w:name="O_754816"/>
      <w:bookmarkEnd w:id="7"/>
      <w:r w:rsidRPr="00BA0069">
        <w:t>Foundation Skills</w:t>
      </w:r>
    </w:p>
    <w:p w:rsidR="00F45E2E" w:rsidP="00F45E2E">
      <w:pPr>
        <w:pStyle w:val="BodyText"/>
      </w:pPr>
      <w:r w:rsidRPr="00BA0069">
        <w:t>Foundation skills essential to performance are explicit in the performance criteria of this unit of competency.</w:t>
      </w:r>
    </w:p>
    <w:p w:rsidR="00000000" w:rsidRPr="00BA0069" w:rsidP="00BA0069">
      <w:pPr>
        <w:pStyle w:val="Heading1"/>
      </w:pPr>
      <w:bookmarkStart w:id="8" w:name="O_754817"/>
      <w:bookmarkEnd w:id="8"/>
      <w:r w:rsidRPr="00BA006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69" w:rsidP="00BA0069">
            <w:pPr>
              <w:pStyle w:val="BodyText"/>
            </w:pPr>
            <w:r w:rsidRPr="00BA0069">
              <w:t>Range is restricted to essential operating conditions and any other variables essential to the work environment.</w:t>
            </w:r>
          </w:p>
          <w:p w:rsidR="00000000" w:rsidRPr="00BA0069" w:rsidP="00BA0069">
            <w:pPr>
              <w:pStyle w:val="BodyText"/>
            </w:pPr>
            <w:r w:rsidRPr="00BA0069">
              <w:t>Non-essential conditions can be found in the Companion Volume Implementation Guide.</w:t>
            </w:r>
          </w:p>
        </w:tc>
      </w:tr>
    </w:tbl>
    <w:p w:rsidR="00F45E2E" w:rsidP="00BA0069">
      <w:pPr>
        <w:pStyle w:val="BodyText"/>
      </w:pPr>
    </w:p>
    <w:p w:rsidR="00F45E2E" w:rsidP="00BA0069">
      <w:pPr>
        <w:pStyle w:val="BodyText"/>
      </w:pPr>
    </w:p>
    <w:p w:rsidR="00000000" w:rsidRPr="00BA0069" w:rsidP="00BA0069">
      <w:pPr>
        <w:pStyle w:val="Heading1"/>
      </w:pPr>
      <w:bookmarkStart w:id="9" w:name="O_754818"/>
      <w:bookmarkEnd w:id="9"/>
      <w:r w:rsidRPr="00BA0069">
        <w:t>Uni</w:t>
      </w:r>
      <w:r w:rsidRPr="00BA0069">
        <w:t>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45E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69" w:rsidP="00BA0069">
            <w:pPr>
              <w:pStyle w:val="BodyText"/>
            </w:pPr>
            <w:r w:rsidRPr="00BA0069">
              <w:t>This unit replaces and is equivalent to TLIX5004A Develop integrated logistics support processes and procedures.</w:t>
            </w:r>
          </w:p>
        </w:tc>
      </w:tr>
    </w:tbl>
    <w:p w:rsidR="00F45E2E" w:rsidP="00BA0069">
      <w:pPr>
        <w:pStyle w:val="BodyText"/>
      </w:pPr>
    </w:p>
    <w:p w:rsidR="00F45E2E" w:rsidP="00BA0069">
      <w:pPr>
        <w:pStyle w:val="BodyText"/>
      </w:pPr>
    </w:p>
    <w:p w:rsidR="00000000" w:rsidRPr="00BA0069" w:rsidP="00BA0069">
      <w:pPr>
        <w:pStyle w:val="Heading1"/>
      </w:pPr>
      <w:bookmarkStart w:id="10" w:name="O_754825"/>
      <w:bookmarkEnd w:id="10"/>
      <w:r w:rsidRPr="00BA0069">
        <w:t>Links</w:t>
      </w:r>
    </w:p>
    <w:p w:rsidR="00000000" w:rsidRPr="00BA0069" w:rsidP="00F45E2E">
      <w:pPr>
        <w:pStyle w:val="BodyText"/>
      </w:pPr>
      <w:r w:rsidRPr="00BA0069">
        <w:t>Companion Volume implementation</w:t>
      </w:r>
      <w:r w:rsidRPr="00BA0069">
        <w:t xml:space="preserve">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52AF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0069" w:rsidP="00BA0069"/>
    <w:sectPr w:rsidSect="00BA00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69" w:rsidRPr="00F45E2E" w:rsidP="00F45E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2E" w:rsidP="00BA0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5E2E" w:rsidP="00BA0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5E2E" w:rsidP="00BA00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069" w:rsidRPr="00F45E2E" w:rsidP="00F45E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2E" w:rsidRPr="002D2AF8" w:rsidP="00BA0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TLIX5004 Develop integrated logistics support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F45E2E" w:rsidP="00BA00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0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0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0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0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0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0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0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0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0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0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069"/>
  </w:style>
  <w:style w:type="character" w:customStyle="1" w:styleId="Heading1Char">
    <w:name w:val="Heading 1 Char"/>
    <w:basedOn w:val="DefaultParagraphFont"/>
    <w:link w:val="Heading1"/>
    <w:rsid w:val="00BA00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0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0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0069"/>
    <w:rPr>
      <w:b/>
      <w:spacing w:val="0"/>
    </w:rPr>
  </w:style>
  <w:style w:type="paragraph" w:customStyle="1" w:styleId="SuperHeading">
    <w:name w:val="SuperHeading"/>
    <w:basedOn w:val="Normal"/>
    <w:rsid w:val="00BA00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0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0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0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0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0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0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0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0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0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0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0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0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0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0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0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0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00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00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0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0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0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0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0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0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0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0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0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0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0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0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0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069"/>
    <w:rPr>
      <w:i/>
    </w:rPr>
  </w:style>
  <w:style w:type="paragraph" w:styleId="Caption">
    <w:name w:val="caption"/>
    <w:basedOn w:val="BodyText"/>
    <w:next w:val="Normal"/>
    <w:qFormat/>
    <w:rsid w:val="00BA00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0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0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069"/>
  </w:style>
  <w:style w:type="paragraph" w:styleId="TableofFigures">
    <w:name w:val="table of figures"/>
    <w:basedOn w:val="Normal"/>
    <w:next w:val="Normal"/>
    <w:semiHidden/>
    <w:rsid w:val="00BA00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0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0069"/>
    <w:rPr>
      <w:rFonts w:ascii="Wingdings" w:hAnsi="Wingdings"/>
    </w:rPr>
  </w:style>
  <w:style w:type="paragraph" w:customStyle="1" w:styleId="TableHeading">
    <w:name w:val="Table Heading"/>
    <w:basedOn w:val="HeadingBase"/>
    <w:rsid w:val="00BA00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069"/>
    <w:rPr>
      <w:color w:val="0033CC"/>
      <w:u w:val="none"/>
    </w:rPr>
  </w:style>
  <w:style w:type="paragraph" w:customStyle="1" w:styleId="BodyTextRight">
    <w:name w:val="Body Text Right"/>
    <w:basedOn w:val="BodyText"/>
    <w:rsid w:val="00BA00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0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0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0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0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0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069"/>
    <w:rPr>
      <w:sz w:val="32"/>
    </w:rPr>
  </w:style>
  <w:style w:type="paragraph" w:customStyle="1" w:styleId="HeadingProcedure">
    <w:name w:val="Heading Procedure"/>
    <w:basedOn w:val="HeadingBase"/>
    <w:next w:val="Normal"/>
    <w:rsid w:val="00BA00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069"/>
    <w:pPr>
      <w:spacing w:before="60" w:after="60"/>
    </w:pPr>
  </w:style>
  <w:style w:type="paragraph" w:styleId="ListContinue">
    <w:name w:val="List Continue"/>
    <w:basedOn w:val="List"/>
    <w:rsid w:val="00BA0069"/>
    <w:pPr>
      <w:ind w:firstLine="0"/>
    </w:pPr>
  </w:style>
  <w:style w:type="paragraph" w:customStyle="1" w:styleId="ListNote">
    <w:name w:val="List Note"/>
    <w:basedOn w:val="List"/>
    <w:rsid w:val="00BA00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0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0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069"/>
    <w:rPr>
      <w:rFonts w:ascii="Courier New" w:hAnsi="Courier New"/>
    </w:rPr>
  </w:style>
  <w:style w:type="paragraph" w:customStyle="1" w:styleId="NoteBullet">
    <w:name w:val="Note Bullet"/>
    <w:basedOn w:val="Note"/>
    <w:rsid w:val="00BA00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0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0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0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0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00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0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069"/>
    <w:rPr>
      <w:b/>
      <w:smallCaps/>
    </w:rPr>
  </w:style>
  <w:style w:type="paragraph" w:customStyle="1" w:styleId="TableListNumber">
    <w:name w:val="Table List Number"/>
    <w:basedOn w:val="ListNumber"/>
    <w:rsid w:val="00BA00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0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069"/>
    <w:pPr>
      <w:numPr>
        <w:numId w:val="7"/>
      </w:numPr>
    </w:pPr>
  </w:style>
  <w:style w:type="paragraph" w:customStyle="1" w:styleId="ListAlpha2">
    <w:name w:val="List Alpha 2"/>
    <w:basedOn w:val="List2"/>
    <w:rsid w:val="00BA0069"/>
    <w:pPr>
      <w:numPr>
        <w:numId w:val="6"/>
      </w:numPr>
    </w:pPr>
  </w:style>
  <w:style w:type="paragraph" w:styleId="List2">
    <w:name w:val="List 2"/>
    <w:basedOn w:val="BodyText"/>
    <w:rsid w:val="00BA00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0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0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0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0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0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0069"/>
    <w:pPr>
      <w:numPr>
        <w:numId w:val="2"/>
      </w:numPr>
    </w:pPr>
  </w:style>
  <w:style w:type="paragraph" w:styleId="ListContinue2">
    <w:name w:val="List Continue 2"/>
    <w:basedOn w:val="List2"/>
    <w:rsid w:val="00BA0069"/>
    <w:pPr>
      <w:ind w:firstLine="0"/>
    </w:pPr>
  </w:style>
  <w:style w:type="paragraph" w:styleId="ListContinue3">
    <w:name w:val="List Continue 3"/>
    <w:basedOn w:val="List3"/>
    <w:rsid w:val="00BA0069"/>
    <w:pPr>
      <w:ind w:left="1021" w:firstLine="0"/>
    </w:pPr>
  </w:style>
  <w:style w:type="paragraph" w:styleId="ListContinue4">
    <w:name w:val="List Continue 4"/>
    <w:basedOn w:val="List4"/>
    <w:rsid w:val="00BA0069"/>
    <w:pPr>
      <w:ind w:firstLine="0"/>
    </w:pPr>
  </w:style>
  <w:style w:type="paragraph" w:styleId="ListContinue5">
    <w:name w:val="List Continue 5"/>
    <w:basedOn w:val="List5"/>
    <w:rsid w:val="00BA0069"/>
    <w:pPr>
      <w:ind w:firstLine="0"/>
    </w:pPr>
  </w:style>
  <w:style w:type="paragraph" w:styleId="ListNumber3">
    <w:name w:val="List Number 3"/>
    <w:basedOn w:val="List3"/>
    <w:rsid w:val="00BA0069"/>
    <w:pPr>
      <w:numPr>
        <w:numId w:val="3"/>
      </w:numPr>
    </w:pPr>
  </w:style>
  <w:style w:type="paragraph" w:styleId="ListNumber4">
    <w:name w:val="List Number 4"/>
    <w:basedOn w:val="List4"/>
    <w:rsid w:val="00BA0069"/>
    <w:pPr>
      <w:numPr>
        <w:numId w:val="4"/>
      </w:numPr>
    </w:pPr>
  </w:style>
  <w:style w:type="paragraph" w:styleId="ListNumber5">
    <w:name w:val="List Number 5"/>
    <w:basedOn w:val="List5"/>
    <w:rsid w:val="00BA0069"/>
    <w:pPr>
      <w:numPr>
        <w:numId w:val="5"/>
      </w:numPr>
    </w:pPr>
  </w:style>
  <w:style w:type="paragraph" w:styleId="BlockText">
    <w:name w:val="Block Text"/>
    <w:basedOn w:val="Normal"/>
    <w:rsid w:val="00BA00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0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069"/>
    <w:rPr>
      <w:sz w:val="16"/>
      <w:vertAlign w:val="superscript"/>
    </w:rPr>
  </w:style>
  <w:style w:type="character" w:customStyle="1" w:styleId="Symbols">
    <w:name w:val="Symbols"/>
    <w:basedOn w:val="DefaultParagraphFont"/>
    <w:rsid w:val="00BA0069"/>
    <w:rPr>
      <w:rFonts w:ascii="Symbol" w:hAnsi="Symbol"/>
    </w:rPr>
  </w:style>
  <w:style w:type="character" w:customStyle="1" w:styleId="MenuOptions">
    <w:name w:val="Menu Options"/>
    <w:basedOn w:val="DefaultParagraphFont"/>
    <w:rsid w:val="00BA00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069"/>
    <w:rPr>
      <w:b/>
    </w:rPr>
  </w:style>
  <w:style w:type="character" w:customStyle="1" w:styleId="Underlined">
    <w:name w:val="Underlined"/>
    <w:basedOn w:val="DefaultParagraphFont"/>
    <w:rsid w:val="00BA0069"/>
    <w:rPr>
      <w:u w:val="single"/>
    </w:rPr>
  </w:style>
  <w:style w:type="paragraph" w:customStyle="1" w:styleId="TableBodyTextRight">
    <w:name w:val="Table Body Text Right"/>
    <w:basedOn w:val="TableBodyText"/>
    <w:rsid w:val="00BA00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069"/>
    <w:rPr>
      <w:sz w:val="18"/>
    </w:rPr>
  </w:style>
  <w:style w:type="paragraph" w:customStyle="1" w:styleId="BodySmallRight">
    <w:name w:val="Body Small Right"/>
    <w:basedOn w:val="BodyTextRight"/>
    <w:rsid w:val="00BA0069"/>
    <w:rPr>
      <w:sz w:val="18"/>
      <w:szCs w:val="18"/>
    </w:rPr>
  </w:style>
  <w:style w:type="paragraph" w:customStyle="1" w:styleId="MarginEdition">
    <w:name w:val="Margin Edition"/>
    <w:basedOn w:val="MarginNote"/>
    <w:rsid w:val="00BA00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069"/>
    <w:rPr>
      <w:sz w:val="2"/>
      <w:szCs w:val="2"/>
    </w:rPr>
  </w:style>
  <w:style w:type="character" w:customStyle="1" w:styleId="Small">
    <w:name w:val="Small"/>
    <w:basedOn w:val="DefaultParagraphFont"/>
    <w:rsid w:val="00BA0069"/>
    <w:rPr>
      <w:sz w:val="16"/>
    </w:rPr>
  </w:style>
  <w:style w:type="paragraph" w:customStyle="1" w:styleId="WideTable">
    <w:name w:val="Wide Table"/>
    <w:basedOn w:val="Normal"/>
    <w:rsid w:val="00BA00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069"/>
  </w:style>
  <w:style w:type="paragraph" w:styleId="Quote">
    <w:name w:val="Quote"/>
    <w:basedOn w:val="Heading1"/>
    <w:link w:val="QuoteChar"/>
    <w:qFormat/>
    <w:rsid w:val="00BA00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0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069"/>
    <w:pPr>
      <w:pageBreakBefore/>
    </w:pPr>
  </w:style>
  <w:style w:type="paragraph" w:customStyle="1" w:styleId="Border">
    <w:name w:val="Border"/>
    <w:basedOn w:val="Normal"/>
    <w:qFormat/>
    <w:rsid w:val="00BA00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0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0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0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0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0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0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0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0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069"/>
    <w:rPr>
      <w:u w:val="single"/>
    </w:rPr>
  </w:style>
  <w:style w:type="character" w:customStyle="1" w:styleId="BoldandItalics">
    <w:name w:val="Bold and Italics"/>
    <w:qFormat/>
    <w:rsid w:val="00BA0069"/>
    <w:rPr>
      <w:b/>
      <w:i/>
      <w:u w:val="none"/>
    </w:rPr>
  </w:style>
  <w:style w:type="paragraph" w:styleId="BalloonText">
    <w:name w:val="Balloon Text"/>
    <w:basedOn w:val="Normal"/>
    <w:link w:val="BalloonTextChar"/>
    <w:rsid w:val="00BA0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0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0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0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0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0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069"/>
    <w:pPr>
      <w:spacing w:before="0" w:after="0"/>
    </w:pPr>
  </w:style>
  <w:style w:type="paragraph" w:customStyle="1" w:styleId="BodyTextBold">
    <w:name w:val="Body Text Bold"/>
    <w:basedOn w:val="BodyText"/>
    <w:qFormat/>
    <w:rsid w:val="00BA0069"/>
    <w:rPr>
      <w:b/>
    </w:rPr>
  </w:style>
  <w:style w:type="character" w:styleId="Hyperlink">
    <w:name w:val="Hyperlink"/>
    <w:basedOn w:val="DefaultParagraphFont"/>
    <w:uiPriority w:val="99"/>
    <w:unhideWhenUsed/>
    <w:rsid w:val="00F45E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4116</Characters>
  <Application>Microsoft Office Word</Application>
  <DocSecurity>0</DocSecurity>
  <Lines>158</Lines>
  <Paragraphs>83</Paragraphs>
  <ScaleCrop>false</ScaleCrop>
  <Company>Author-it Software Corporation Ltd.</Company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TLIX5004 Develop integrated logistics support processes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2022-10-25T05:16:00Z</dcterms:created>
  <dcterms:modified xsi:type="dcterms:W3CDTF">2022-10-25T05:16:00Z</dcterms:modified>
</cp:coreProperties>
</file>