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9A6" w:rsidP="009A1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TLIX4036 Analyse, advise on and carry out integrated border clearance transactions</w:t>
      </w:r>
      <w:r>
        <w:fldChar w:fldCharType="end"/>
      </w:r>
    </w:p>
    <w:p w:rsidR="009A19A6" w:rsidP="009A19A6">
      <w:pPr>
        <w:pStyle w:val="Version"/>
        <w:sectPr w:rsidSect="00F72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B88" w:rsidP="00F72B88">
      <w:pPr>
        <w:pStyle w:val="SuperHeading"/>
      </w:pPr>
      <w:r w:rsidRPr="00F72B88">
        <w:t>TLIX4036 Analyse, advise on and carry out integrated border clearance transactions</w:t>
      </w:r>
    </w:p>
    <w:p w:rsidR="00000000" w:rsidRPr="00F72B88" w:rsidP="00F72B88">
      <w:pPr>
        <w:pStyle w:val="Heading1"/>
      </w:pPr>
      <w:bookmarkStart w:id="1" w:name="O_838443"/>
      <w:bookmarkEnd w:id="1"/>
      <w:r w:rsidRPr="00F72B88">
        <w:t>Modification History</w:t>
      </w:r>
    </w:p>
    <w:p w:rsidR="009A19A6" w:rsidP="009A19A6">
      <w:pPr>
        <w:pStyle w:val="BodyText"/>
      </w:pPr>
      <w:r w:rsidRPr="00F72B88">
        <w:t>Release 1. This is the first release of this unit of competency in the TLI Transport and Logistics Training Package.</w:t>
      </w:r>
    </w:p>
    <w:p w:rsidR="00000000" w:rsidRPr="00F72B88" w:rsidP="00F72B88">
      <w:pPr>
        <w:pStyle w:val="Heading1"/>
      </w:pPr>
      <w:bookmarkStart w:id="2" w:name="O_838444"/>
      <w:bookmarkEnd w:id="2"/>
      <w:r w:rsidRPr="00F72B8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t>This unit involves the skills and knowledge required to analyse, advise on and carry out border clearance transactions.</w:t>
            </w:r>
          </w:p>
          <w:p w:rsidR="00000000" w:rsidRPr="00F72B88" w:rsidP="00F72B88">
            <w:pPr>
              <w:pStyle w:val="BodyText"/>
            </w:pPr>
            <w:r w:rsidRPr="00F72B88">
              <w:t>It includes analysing complex interactions between component elements of the transactions, in accordance with customs and re</w:t>
            </w:r>
            <w:r w:rsidRPr="00F72B88">
              <w:t>lated legislation, and workplace requirements.</w:t>
            </w:r>
          </w:p>
          <w:p w:rsidR="00000000" w:rsidRPr="00F72B88" w:rsidP="00F72B88">
            <w:pPr>
              <w:pStyle w:val="BodyText"/>
            </w:pPr>
            <w:r w:rsidRPr="00F72B88">
              <w:t xml:space="preserve">This unit applies to individuals working as a customs broker. </w:t>
            </w:r>
          </w:p>
          <w:p w:rsidR="00000000" w:rsidRPr="00F72B88" w:rsidP="00F72B88">
            <w:pPr>
              <w:pStyle w:val="BodyText"/>
            </w:pPr>
            <w:r w:rsidRPr="00F72B88">
              <w:t>Work is undertaken in a range of environments including small to large worksites in the customs broking and international freight forwarding indus</w:t>
            </w:r>
            <w:r w:rsidRPr="00F72B88">
              <w:t>tries.</w:t>
            </w:r>
          </w:p>
          <w:p w:rsidR="00000000" w:rsidRPr="00F72B88" w:rsidP="00F72B88">
            <w:pPr>
              <w:pStyle w:val="BodyText"/>
            </w:pPr>
            <w:r w:rsidRPr="00F72B88">
              <w:t>No licensing, legislative or certification requirements apply to this unit at the time of publication.</w:t>
            </w:r>
          </w:p>
        </w:tc>
      </w:tr>
    </w:tbl>
    <w:p w:rsidR="009A19A6" w:rsidP="00F72B88">
      <w:pPr>
        <w:pStyle w:val="BodyText"/>
      </w:pPr>
    </w:p>
    <w:p w:rsidR="009A19A6" w:rsidP="00F72B88">
      <w:pPr>
        <w:pStyle w:val="BodyText"/>
      </w:pPr>
    </w:p>
    <w:p w:rsidR="00000000" w:rsidRPr="00F72B88" w:rsidP="00F72B88">
      <w:pPr>
        <w:pStyle w:val="Heading1"/>
      </w:pPr>
      <w:bookmarkStart w:id="3" w:name="O_838445"/>
      <w:bookmarkEnd w:id="3"/>
      <w:r w:rsidRPr="00F72B88">
        <w:t>Pre-requisite Unit</w:t>
      </w:r>
    </w:p>
    <w:p w:rsidR="009A19A6" w:rsidP="009A19A6">
      <w:pPr>
        <w:pStyle w:val="BodyText"/>
      </w:pPr>
      <w:r w:rsidRPr="00F72B88">
        <w:t>Not applicable.</w:t>
      </w:r>
    </w:p>
    <w:p w:rsidR="00000000" w:rsidRPr="00F72B88" w:rsidP="00F72B88">
      <w:pPr>
        <w:pStyle w:val="Heading1"/>
      </w:pPr>
      <w:bookmarkStart w:id="4" w:name="O_838446"/>
      <w:bookmarkEnd w:id="4"/>
      <w:r w:rsidRPr="00F72B88">
        <w:t>Competency Field</w:t>
      </w:r>
    </w:p>
    <w:p w:rsidR="009A19A6" w:rsidP="009A19A6">
      <w:pPr>
        <w:pStyle w:val="BodyText"/>
      </w:pPr>
      <w:r w:rsidRPr="00F72B88">
        <w:t>X – Logistics</w:t>
      </w:r>
    </w:p>
    <w:p w:rsidR="00000000" w:rsidRPr="00F72B88" w:rsidP="00F72B88">
      <w:pPr>
        <w:pStyle w:val="Heading1"/>
      </w:pPr>
      <w:bookmarkStart w:id="5" w:name="O_838447"/>
      <w:bookmarkEnd w:id="5"/>
      <w:r w:rsidRPr="00F72B88">
        <w:t>Unit Sector</w:t>
      </w:r>
    </w:p>
    <w:p w:rsidR="009A19A6" w:rsidP="009A19A6">
      <w:pPr>
        <w:pStyle w:val="BodyText"/>
      </w:pPr>
      <w:r w:rsidRPr="00F72B88">
        <w:t>Not applicable.</w:t>
      </w:r>
    </w:p>
    <w:p w:rsidR="00000000" w:rsidRPr="00F72B88" w:rsidP="00F72B88">
      <w:pPr>
        <w:pStyle w:val="Heading1"/>
      </w:pPr>
      <w:bookmarkStart w:id="6" w:name="O_838448"/>
      <w:bookmarkEnd w:id="6"/>
      <w:r w:rsidRPr="00F72B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1852"/>
        <w:gridCol w:w="1"/>
        <w:gridCol w:w="578"/>
        <w:gridCol w:w="6417"/>
      </w:tblGrid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rPr>
                <w:rStyle w:val="SpecialBold"/>
              </w:rPr>
              <w:t>PERFORMANCE CRITERIA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 xml:space="preserve">Elements describe the </w:t>
            </w:r>
            <w:r w:rsidRPr="00F72B88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 xml:space="preserve">Performance criteria describe the performance needed to demonstrate achievement of the </w:t>
            </w:r>
            <w:r w:rsidRPr="00F72B88">
              <w:t>element.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rPr>
                <w:rStyle w:val="SpecialBold"/>
              </w:rPr>
              <w:t>Read and int</w:t>
            </w:r>
            <w:r w:rsidRPr="00F72B88">
              <w:rPr>
                <w:rStyle w:val="SpecialBold"/>
              </w:rPr>
              <w:t>erpret documents for import consignment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Documents for import transaction are reviewed and assessed for compliance with legislative and regulatory requirements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Australian Customs Act and/or other legislation is accessed and implications for import clearance is determined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Missing or ambiguous documents and/or information is identified and client is advised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rPr>
                <w:rStyle w:val="SpecialBold"/>
              </w:rPr>
              <w:t>Identify and analyse problems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Requirements f</w:t>
            </w:r>
            <w:r w:rsidRPr="00F72B88">
              <w:t>or import clearance transactions are analysed and concerns are identified and documented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Implications and risks associated with identified concerns are assessed and recorded in accordance with workplace procedures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rPr>
                <w:rStyle w:val="SpecialBold"/>
              </w:rPr>
              <w:t>Develop and review alternative solutions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Appropriate alternative solutions to identified issues and problems are developed with due consideration to managing the risks involved, legislative requirements and client needs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 xml:space="preserve">Comparative benefits and </w:t>
            </w:r>
            <w:r w:rsidRPr="00F72B88">
              <w:t>risks of alternative solutions are assessed and documented in accordance with workplace procedures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Various options are reviewed in terms of their comparative benefits and risks and review outcomes are documented as required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rPr>
                <w:rStyle w:val="SpecialBold"/>
              </w:rPr>
              <w:t>Select and justify solution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Alternative solutions are developed based on review outcomes and preferred solution/s are selected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Selection justification is documented in accordance with workplace procedures and policies, with due reference to comp</w:t>
            </w:r>
            <w:r w:rsidRPr="00F72B88">
              <w:t>liance with all legislative requirements, selected solution benefits, risks involved and how they will be managed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Critical issues identified during the review and assessment processes are discussed and cleared with relevant internal and external personnel as required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rPr>
                <w:rStyle w:val="SpecialBold"/>
              </w:rPr>
              <w:t>Complete border clearance transaction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Results of integrated border clearance transaction review</w:t>
            </w:r>
            <w:r w:rsidRPr="00F72B88">
              <w:t xml:space="preserve"> are discussed with client 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 xml:space="preserve">Advice is provided to client on border clearance transaction, recommended solution and recommendation rationale 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Integrated border clearance transaction is completed in accordance with agreed approach, relevant legislative requirements and workplace procedures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rPr>
                <w:rStyle w:val="SpecialBold"/>
              </w:rPr>
              <w:t xml:space="preserve">Document and record border clearance </w:t>
            </w:r>
            <w:r w:rsidRPr="00F72B88">
              <w:rPr>
                <w:rStyle w:val="SpecialBold"/>
              </w:rPr>
              <w:t>transaction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Required documentation for integrated border clearan</w:t>
            </w:r>
            <w:r w:rsidRPr="00F72B88">
              <w:t>ce transaction is completed and verified in accordance with legislative requirements and workplace procedures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Information is entered into appropriate systems as required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Records are made of integrated border clearance transaction and information on specific issues, problems and related solutions adopted, and action taken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Relevant information concerning integrated border clearance transaction is forwarded to client a</w:t>
            </w:r>
            <w:r w:rsidRPr="00F72B88">
              <w:t>nd relevant internal and external personnel, for compliance with customs and related legislation requirements, in accordance with workplace and organisational procedures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Integrated border transaction records are retained in accordance with customs a</w:t>
            </w:r>
            <w:r w:rsidRPr="00F72B88">
              <w:t>nd relevant legislative requirements, and workplace and organisational procedures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rPr>
                <w:rStyle w:val="SpecialBold"/>
              </w:rPr>
              <w:t>Implement formal review mechanisms for dispute resolution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Need for a formal review of a dispute related to a border transaction is identified in accordance with releva</w:t>
            </w:r>
            <w:r w:rsidRPr="00F72B88">
              <w:t xml:space="preserve">nt legislative and regulatory requirements 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Appropriate review mechanism for a dispute related to a border transaction is identified in accordance with relevant legislative and regulatory requirements</w:t>
            </w:r>
          </w:p>
        </w:tc>
      </w:tr>
      <w:tr w:rsidTr="009A1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88">
            <w:pPr>
              <w:pStyle w:val="BodyText"/>
              <w:rPr>
                <w:lang w:val="en-NZ"/>
              </w:rPr>
            </w:pPr>
            <w:r w:rsidRPr="00F72B88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88" w:rsidP="00F72B88">
            <w:pPr>
              <w:pStyle w:val="BodyText"/>
            </w:pPr>
            <w:r w:rsidRPr="00F72B88">
              <w:t>Identified review mechanism is implemented to resolve border transaction dispute in accordance with relevant legislative and regulatory requirements</w:t>
            </w:r>
          </w:p>
        </w:tc>
      </w:tr>
    </w:tbl>
    <w:p w:rsidR="009A19A6" w:rsidP="00F72B88">
      <w:pPr>
        <w:pStyle w:val="BodyText"/>
      </w:pPr>
    </w:p>
    <w:p w:rsidR="009A19A6" w:rsidP="00F72B88">
      <w:pPr>
        <w:pStyle w:val="BodyText"/>
      </w:pPr>
    </w:p>
    <w:p w:rsidR="00000000" w:rsidRPr="00F72B88" w:rsidP="00F72B88">
      <w:pPr>
        <w:pStyle w:val="Heading1"/>
      </w:pPr>
      <w:bookmarkStart w:id="7" w:name="O_838449"/>
      <w:bookmarkEnd w:id="7"/>
      <w:r w:rsidRPr="00F72B88">
        <w:t>Foundation Skills</w:t>
      </w:r>
    </w:p>
    <w:p w:rsidR="009A19A6" w:rsidP="009A19A6">
      <w:pPr>
        <w:pStyle w:val="BodyText"/>
      </w:pPr>
      <w:r w:rsidRPr="00F72B88">
        <w:t>Foundation skills essential to performance are explicit in the performance criteria of this unit of competency.</w:t>
      </w:r>
    </w:p>
    <w:p w:rsidR="00000000" w:rsidRPr="00F72B88" w:rsidP="00F72B88">
      <w:pPr>
        <w:pStyle w:val="Heading1"/>
      </w:pPr>
      <w:bookmarkStart w:id="8" w:name="O_838450"/>
      <w:bookmarkEnd w:id="8"/>
      <w:r w:rsidRPr="00F72B88">
        <w:t>Range of Conditions</w:t>
      </w:r>
    </w:p>
    <w:p w:rsidR="00000000" w:rsidRPr="00F72B88" w:rsidP="009A19A6">
      <w:pPr>
        <w:pStyle w:val="BodyText"/>
      </w:pPr>
      <w:r w:rsidRPr="00F72B88">
        <w:t>Range is restricted to essential operating conditions and any other variables essential to the work enviro</w:t>
      </w:r>
      <w:r w:rsidRPr="00F72B88">
        <w:t>nment.</w:t>
      </w:r>
    </w:p>
    <w:p w:rsidR="009A19A6" w:rsidP="009A19A6">
      <w:pPr>
        <w:pStyle w:val="BodyText"/>
      </w:pPr>
      <w:r w:rsidRPr="00F72B88">
        <w:t>Non-essential conditions can be found in the Companion Volume Implementation Guide.</w:t>
      </w:r>
    </w:p>
    <w:p w:rsidR="00000000" w:rsidRPr="00F72B88" w:rsidP="00F72B88">
      <w:pPr>
        <w:pStyle w:val="Heading1"/>
      </w:pPr>
      <w:bookmarkStart w:id="9" w:name="O_838451"/>
      <w:bookmarkEnd w:id="9"/>
      <w:r w:rsidRPr="00F72B88">
        <w:t>Unit Mapping Information</w:t>
      </w:r>
    </w:p>
    <w:p w:rsidR="009A19A6" w:rsidP="009A19A6">
      <w:pPr>
        <w:pStyle w:val="BodyText"/>
      </w:pPr>
      <w:r w:rsidRPr="00F72B88">
        <w:t>This unit replaces and is equivalent to TLIX4036A Analyse, advise on and carry out integrated border clearance transaction</w:t>
      </w:r>
      <w:r w:rsidRPr="00F72B88">
        <w:t>s.</w:t>
      </w:r>
    </w:p>
    <w:p w:rsidR="00000000" w:rsidRPr="00F72B88" w:rsidP="00F72B88">
      <w:pPr>
        <w:pStyle w:val="Heading1"/>
      </w:pPr>
      <w:bookmarkStart w:id="10" w:name="O_838458"/>
      <w:bookmarkEnd w:id="10"/>
      <w:r w:rsidRPr="00F72B88">
        <w:t>Links</w:t>
      </w:r>
    </w:p>
    <w:p w:rsidR="00000000" w:rsidRPr="00F72B88" w:rsidP="009A19A6">
      <w:pPr>
        <w:pStyle w:val="BodyText"/>
      </w:pPr>
      <w:r w:rsidRPr="00F72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32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2B88" w:rsidP="00F72B88"/>
    <w:sectPr w:rsidSect="00F72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88" w:rsidRPr="009A19A6" w:rsidP="009A1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6" w:rsidP="00F72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9A6" w:rsidP="00F72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19A6" w:rsidP="00F72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B88" w:rsidRPr="009A19A6" w:rsidP="009A1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6" w:rsidRPr="002D2AF8" w:rsidP="00F72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TLIX4036 Analyse, advise on and carry out integrated border clearance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9A19A6" w:rsidP="00F72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B88"/>
  </w:style>
  <w:style w:type="character" w:customStyle="1" w:styleId="Heading1Char">
    <w:name w:val="Heading 1 Char"/>
    <w:basedOn w:val="DefaultParagraphFont"/>
    <w:link w:val="Heading1"/>
    <w:rsid w:val="00F72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B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2B88"/>
    <w:rPr>
      <w:b/>
      <w:spacing w:val="0"/>
    </w:rPr>
  </w:style>
  <w:style w:type="paragraph" w:customStyle="1" w:styleId="SuperHeading">
    <w:name w:val="SuperHeading"/>
    <w:basedOn w:val="Normal"/>
    <w:rsid w:val="00F72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B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2B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2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B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B88"/>
    <w:rPr>
      <w:i/>
    </w:rPr>
  </w:style>
  <w:style w:type="paragraph" w:styleId="Caption">
    <w:name w:val="caption"/>
    <w:basedOn w:val="BodyText"/>
    <w:next w:val="Normal"/>
    <w:qFormat/>
    <w:rsid w:val="00F72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B88"/>
  </w:style>
  <w:style w:type="paragraph" w:styleId="TableofFigures">
    <w:name w:val="table of figures"/>
    <w:basedOn w:val="Normal"/>
    <w:next w:val="Normal"/>
    <w:semiHidden/>
    <w:rsid w:val="00F72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B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2B88"/>
    <w:rPr>
      <w:rFonts w:ascii="Wingdings" w:hAnsi="Wingdings"/>
    </w:rPr>
  </w:style>
  <w:style w:type="paragraph" w:customStyle="1" w:styleId="TableHeading">
    <w:name w:val="Table Heading"/>
    <w:basedOn w:val="HeadingBase"/>
    <w:rsid w:val="00F72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B88"/>
    <w:rPr>
      <w:color w:val="0033CC"/>
      <w:u w:val="none"/>
    </w:rPr>
  </w:style>
  <w:style w:type="paragraph" w:customStyle="1" w:styleId="BodyTextRight">
    <w:name w:val="Body Text Right"/>
    <w:basedOn w:val="BodyText"/>
    <w:rsid w:val="00F72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B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B88"/>
    <w:rPr>
      <w:sz w:val="32"/>
    </w:rPr>
  </w:style>
  <w:style w:type="paragraph" w:customStyle="1" w:styleId="HeadingProcedure">
    <w:name w:val="Heading Procedure"/>
    <w:basedOn w:val="HeadingBase"/>
    <w:next w:val="Normal"/>
    <w:rsid w:val="00F72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B88"/>
    <w:pPr>
      <w:spacing w:before="60" w:after="60"/>
    </w:pPr>
  </w:style>
  <w:style w:type="paragraph" w:styleId="ListContinue">
    <w:name w:val="List Continue"/>
    <w:basedOn w:val="List"/>
    <w:rsid w:val="00F72B88"/>
    <w:pPr>
      <w:ind w:firstLine="0"/>
    </w:pPr>
  </w:style>
  <w:style w:type="paragraph" w:customStyle="1" w:styleId="ListNote">
    <w:name w:val="List Note"/>
    <w:basedOn w:val="List"/>
    <w:rsid w:val="00F72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B88"/>
    <w:rPr>
      <w:rFonts w:ascii="Courier New" w:hAnsi="Courier New"/>
    </w:rPr>
  </w:style>
  <w:style w:type="paragraph" w:customStyle="1" w:styleId="NoteBullet">
    <w:name w:val="Note Bullet"/>
    <w:basedOn w:val="Note"/>
    <w:rsid w:val="00F72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B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2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B88"/>
    <w:rPr>
      <w:b/>
      <w:smallCaps/>
    </w:rPr>
  </w:style>
  <w:style w:type="paragraph" w:customStyle="1" w:styleId="TableListNumber">
    <w:name w:val="Table List Number"/>
    <w:basedOn w:val="ListNumber"/>
    <w:rsid w:val="00F72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B88"/>
    <w:pPr>
      <w:numPr>
        <w:numId w:val="7"/>
      </w:numPr>
    </w:pPr>
  </w:style>
  <w:style w:type="paragraph" w:customStyle="1" w:styleId="ListAlpha2">
    <w:name w:val="List Alpha 2"/>
    <w:basedOn w:val="List2"/>
    <w:rsid w:val="00F72B88"/>
    <w:pPr>
      <w:numPr>
        <w:numId w:val="6"/>
      </w:numPr>
    </w:pPr>
  </w:style>
  <w:style w:type="paragraph" w:styleId="List2">
    <w:name w:val="List 2"/>
    <w:basedOn w:val="BodyText"/>
    <w:rsid w:val="00F72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B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B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2B88"/>
    <w:pPr>
      <w:numPr>
        <w:numId w:val="2"/>
      </w:numPr>
    </w:pPr>
  </w:style>
  <w:style w:type="paragraph" w:styleId="ListContinue2">
    <w:name w:val="List Continue 2"/>
    <w:basedOn w:val="List2"/>
    <w:rsid w:val="00F72B88"/>
    <w:pPr>
      <w:ind w:firstLine="0"/>
    </w:pPr>
  </w:style>
  <w:style w:type="paragraph" w:styleId="ListContinue3">
    <w:name w:val="List Continue 3"/>
    <w:basedOn w:val="List3"/>
    <w:rsid w:val="00F72B88"/>
    <w:pPr>
      <w:ind w:left="1021" w:firstLine="0"/>
    </w:pPr>
  </w:style>
  <w:style w:type="paragraph" w:styleId="ListContinue4">
    <w:name w:val="List Continue 4"/>
    <w:basedOn w:val="List4"/>
    <w:rsid w:val="00F72B88"/>
    <w:pPr>
      <w:ind w:firstLine="0"/>
    </w:pPr>
  </w:style>
  <w:style w:type="paragraph" w:styleId="ListContinue5">
    <w:name w:val="List Continue 5"/>
    <w:basedOn w:val="List5"/>
    <w:rsid w:val="00F72B88"/>
    <w:pPr>
      <w:ind w:firstLine="0"/>
    </w:pPr>
  </w:style>
  <w:style w:type="paragraph" w:styleId="ListNumber3">
    <w:name w:val="List Number 3"/>
    <w:basedOn w:val="List3"/>
    <w:rsid w:val="00F72B88"/>
    <w:pPr>
      <w:numPr>
        <w:numId w:val="3"/>
      </w:numPr>
    </w:pPr>
  </w:style>
  <w:style w:type="paragraph" w:styleId="ListNumber4">
    <w:name w:val="List Number 4"/>
    <w:basedOn w:val="List4"/>
    <w:rsid w:val="00F72B88"/>
    <w:pPr>
      <w:numPr>
        <w:numId w:val="4"/>
      </w:numPr>
    </w:pPr>
  </w:style>
  <w:style w:type="paragraph" w:styleId="ListNumber5">
    <w:name w:val="List Number 5"/>
    <w:basedOn w:val="List5"/>
    <w:rsid w:val="00F72B88"/>
    <w:pPr>
      <w:numPr>
        <w:numId w:val="5"/>
      </w:numPr>
    </w:pPr>
  </w:style>
  <w:style w:type="paragraph" w:styleId="BlockText">
    <w:name w:val="Block Text"/>
    <w:basedOn w:val="Normal"/>
    <w:rsid w:val="00F72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B88"/>
    <w:rPr>
      <w:sz w:val="16"/>
      <w:vertAlign w:val="superscript"/>
    </w:rPr>
  </w:style>
  <w:style w:type="character" w:customStyle="1" w:styleId="Symbols">
    <w:name w:val="Symbols"/>
    <w:basedOn w:val="DefaultParagraphFont"/>
    <w:rsid w:val="00F72B88"/>
    <w:rPr>
      <w:rFonts w:ascii="Symbol" w:hAnsi="Symbol"/>
    </w:rPr>
  </w:style>
  <w:style w:type="character" w:customStyle="1" w:styleId="MenuOptions">
    <w:name w:val="Menu Options"/>
    <w:basedOn w:val="DefaultParagraphFont"/>
    <w:rsid w:val="00F72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B88"/>
    <w:rPr>
      <w:b/>
    </w:rPr>
  </w:style>
  <w:style w:type="character" w:customStyle="1" w:styleId="Underlined">
    <w:name w:val="Underlined"/>
    <w:basedOn w:val="DefaultParagraphFont"/>
    <w:rsid w:val="00F72B88"/>
    <w:rPr>
      <w:u w:val="single"/>
    </w:rPr>
  </w:style>
  <w:style w:type="paragraph" w:customStyle="1" w:styleId="TableBodyTextRight">
    <w:name w:val="Table Body Text Right"/>
    <w:basedOn w:val="TableBodyText"/>
    <w:rsid w:val="00F72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B88"/>
    <w:rPr>
      <w:sz w:val="18"/>
    </w:rPr>
  </w:style>
  <w:style w:type="paragraph" w:customStyle="1" w:styleId="BodySmallRight">
    <w:name w:val="Body Small Right"/>
    <w:basedOn w:val="BodyTextRight"/>
    <w:rsid w:val="00F72B88"/>
    <w:rPr>
      <w:sz w:val="18"/>
      <w:szCs w:val="18"/>
    </w:rPr>
  </w:style>
  <w:style w:type="paragraph" w:customStyle="1" w:styleId="MarginEdition">
    <w:name w:val="Margin Edition"/>
    <w:basedOn w:val="MarginNote"/>
    <w:rsid w:val="00F72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B88"/>
    <w:rPr>
      <w:sz w:val="2"/>
      <w:szCs w:val="2"/>
    </w:rPr>
  </w:style>
  <w:style w:type="character" w:customStyle="1" w:styleId="Small">
    <w:name w:val="Small"/>
    <w:basedOn w:val="DefaultParagraphFont"/>
    <w:rsid w:val="00F72B88"/>
    <w:rPr>
      <w:sz w:val="16"/>
    </w:rPr>
  </w:style>
  <w:style w:type="paragraph" w:customStyle="1" w:styleId="WideTable">
    <w:name w:val="Wide Table"/>
    <w:basedOn w:val="Normal"/>
    <w:rsid w:val="00F72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B88"/>
  </w:style>
  <w:style w:type="paragraph" w:styleId="Quote">
    <w:name w:val="Quote"/>
    <w:basedOn w:val="Heading1"/>
    <w:link w:val="QuoteChar"/>
    <w:qFormat/>
    <w:rsid w:val="00F72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B88"/>
    <w:pPr>
      <w:pageBreakBefore/>
    </w:pPr>
  </w:style>
  <w:style w:type="paragraph" w:customStyle="1" w:styleId="Border">
    <w:name w:val="Border"/>
    <w:basedOn w:val="Normal"/>
    <w:qFormat/>
    <w:rsid w:val="00F72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B88"/>
    <w:rPr>
      <w:u w:val="single"/>
    </w:rPr>
  </w:style>
  <w:style w:type="character" w:customStyle="1" w:styleId="BoldandItalics">
    <w:name w:val="Bold and Italics"/>
    <w:qFormat/>
    <w:rsid w:val="00F72B88"/>
    <w:rPr>
      <w:b/>
      <w:i/>
      <w:u w:val="none"/>
    </w:rPr>
  </w:style>
  <w:style w:type="paragraph" w:styleId="BalloonText">
    <w:name w:val="Balloon Text"/>
    <w:basedOn w:val="Normal"/>
    <w:link w:val="BalloonTextChar"/>
    <w:rsid w:val="00F72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B88"/>
    <w:pPr>
      <w:spacing w:before="0" w:after="0"/>
    </w:pPr>
  </w:style>
  <w:style w:type="paragraph" w:customStyle="1" w:styleId="BodyTextBold">
    <w:name w:val="Body Text Bold"/>
    <w:basedOn w:val="BodyText"/>
    <w:qFormat/>
    <w:rsid w:val="00F72B88"/>
    <w:rPr>
      <w:b/>
    </w:rPr>
  </w:style>
  <w:style w:type="character" w:styleId="Hyperlink">
    <w:name w:val="Hyperlink"/>
    <w:basedOn w:val="DefaultParagraphFont"/>
    <w:uiPriority w:val="99"/>
    <w:unhideWhenUsed/>
    <w:rsid w:val="009A1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4832</Characters>
  <Application>Microsoft Office Word</Application>
  <DocSecurity>0</DocSecurity>
  <Lines>193</Lines>
  <Paragraphs>105</Paragraphs>
  <ScaleCrop>false</ScaleCrop>
  <Company>Author-it Software Corporation Ltd.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TLIX4036 Analyse, advise on and carry out integrated border clearance transactions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2022-04-07T06:58:00Z</dcterms:created>
  <dcterms:modified xsi:type="dcterms:W3CDTF">2022-04-07T06:58:00Z</dcterms:modified>
</cp:coreProperties>
</file>