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9DC" w:rsidP="00CC49DC">
      <w:pPr>
        <w:pStyle w:val="Title"/>
      </w:pPr>
      <w:r>
        <w:fldChar w:fldCharType="begin"/>
      </w:r>
      <w:r>
        <w:instrText xml:space="preserve"> TITLE   \* MERGEFORMAT </w:instrText>
      </w:r>
      <w:r>
        <w:fldChar w:fldCharType="separate"/>
      </w:r>
      <w:r>
        <w:t>TLIX4036 Analyse, advise on and carry out integrated border clearance transactions</w:t>
      </w:r>
      <w:r>
        <w:fldChar w:fldCharType="end"/>
      </w:r>
    </w:p>
    <w:p w:rsidR="00CC49DC" w:rsidP="00CC49DC">
      <w:pPr>
        <w:pStyle w:val="Version"/>
        <w:sectPr w:rsidSect="004F7D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D9A" w:rsidP="004F7D9A">
      <w:pPr>
        <w:pStyle w:val="SuperHeading"/>
      </w:pPr>
      <w:r w:rsidRPr="004F7D9A">
        <w:t>TLIX4036 Analyse, advise on and carry out integrated border clearance transactions</w:t>
      </w:r>
    </w:p>
    <w:p w:rsidR="00000000" w:rsidRPr="004F7D9A" w:rsidP="004F7D9A">
      <w:pPr>
        <w:pStyle w:val="Heading1"/>
      </w:pPr>
      <w:bookmarkStart w:id="1" w:name="O_838443"/>
      <w:bookmarkEnd w:id="1"/>
      <w:r w:rsidRPr="004F7D9A">
        <w:t>Modification History</w:t>
      </w:r>
    </w:p>
    <w:p w:rsidR="00CC49DC" w:rsidP="00CC49DC">
      <w:pPr>
        <w:pStyle w:val="BodyText"/>
      </w:pPr>
      <w:r w:rsidRPr="004F7D9A">
        <w:t>Release 1. This is the first release of this unit of competency in the TLI Transport and Logistics Training Package.</w:t>
      </w:r>
    </w:p>
    <w:p w:rsidR="00000000" w:rsidRPr="004F7D9A" w:rsidP="004F7D9A">
      <w:pPr>
        <w:pStyle w:val="Heading1"/>
      </w:pPr>
      <w:bookmarkStart w:id="2" w:name="O_838444"/>
      <w:bookmarkEnd w:id="2"/>
      <w:r w:rsidRPr="004F7D9A">
        <w:t>Application</w:t>
      </w:r>
    </w:p>
    <w:tbl>
      <w:tblPr>
        <w:tblW w:w="0" w:type="auto"/>
        <w:tblCellMar>
          <w:left w:w="62" w:type="dxa"/>
          <w:right w:w="62" w:type="dxa"/>
        </w:tblCellMar>
        <w:tblLook w:val="0000"/>
      </w:tblPr>
      <w:tblGrid>
        <w:gridCol w:w="9196"/>
      </w:tblGrid>
      <w:tr w:rsidTr="00CC49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7D9A" w:rsidP="004F7D9A">
            <w:pPr>
              <w:pStyle w:val="BodyText"/>
            </w:pPr>
            <w:r w:rsidRPr="004F7D9A">
              <w:t>This unit involves the skills and knowledge required to analyse, advise on and carry out border clearance transactions.</w:t>
            </w:r>
          </w:p>
          <w:p w:rsidR="00000000" w:rsidRPr="004F7D9A" w:rsidP="004F7D9A">
            <w:pPr>
              <w:pStyle w:val="BodyText"/>
            </w:pPr>
            <w:r w:rsidRPr="004F7D9A">
              <w:t>It includes analysing complex interactions between component elements of the transactions, in accordance with customs and re</w:t>
            </w:r>
            <w:r w:rsidRPr="004F7D9A">
              <w:t>lated legislation, and workplace requirements.</w:t>
            </w:r>
          </w:p>
          <w:p w:rsidR="00000000" w:rsidRPr="004F7D9A" w:rsidP="004F7D9A">
            <w:pPr>
              <w:pStyle w:val="BodyText"/>
            </w:pPr>
            <w:r w:rsidRPr="004F7D9A">
              <w:t xml:space="preserve">This unit applies to individuals working as a customs broker. </w:t>
            </w:r>
          </w:p>
          <w:p w:rsidR="00000000" w:rsidRPr="004F7D9A" w:rsidP="004F7D9A">
            <w:pPr>
              <w:pStyle w:val="BodyText"/>
            </w:pPr>
            <w:r w:rsidRPr="004F7D9A">
              <w:t>Work is undertaken in a range of environments including small to large worksites in the customs broking and international freight forwarding indus</w:t>
            </w:r>
            <w:r w:rsidRPr="004F7D9A">
              <w:t>tries.</w:t>
            </w:r>
          </w:p>
          <w:p w:rsidR="00000000" w:rsidRPr="004F7D9A" w:rsidP="004F7D9A">
            <w:pPr>
              <w:pStyle w:val="BodyText"/>
            </w:pPr>
            <w:r w:rsidRPr="004F7D9A">
              <w:t>No licensing, legislative or certification requirements apply to this unit at the time of publication.</w:t>
            </w:r>
          </w:p>
        </w:tc>
      </w:tr>
    </w:tbl>
    <w:p w:rsidR="00CC49DC" w:rsidP="004F7D9A">
      <w:pPr>
        <w:pStyle w:val="BodyText"/>
      </w:pPr>
    </w:p>
    <w:p w:rsidR="00CC49DC" w:rsidP="004F7D9A">
      <w:pPr>
        <w:pStyle w:val="BodyText"/>
      </w:pPr>
    </w:p>
    <w:p w:rsidR="00000000" w:rsidRPr="004F7D9A" w:rsidP="004F7D9A">
      <w:pPr>
        <w:pStyle w:val="Heading1"/>
      </w:pPr>
      <w:bookmarkStart w:id="3" w:name="O_838445"/>
      <w:bookmarkEnd w:id="3"/>
      <w:r w:rsidRPr="004F7D9A">
        <w:t>Pre-requisite Unit</w:t>
      </w:r>
    </w:p>
    <w:p w:rsidR="00CC49DC" w:rsidP="00CC49DC">
      <w:pPr>
        <w:pStyle w:val="BodyText"/>
      </w:pPr>
      <w:r w:rsidRPr="004F7D9A">
        <w:t>Not applicable.</w:t>
      </w:r>
    </w:p>
    <w:p w:rsidR="00000000" w:rsidRPr="004F7D9A" w:rsidP="004F7D9A">
      <w:pPr>
        <w:pStyle w:val="Heading1"/>
      </w:pPr>
      <w:bookmarkStart w:id="4" w:name="O_838446"/>
      <w:bookmarkEnd w:id="4"/>
      <w:r w:rsidRPr="004F7D9A">
        <w:t>Competency Field</w:t>
      </w:r>
    </w:p>
    <w:p w:rsidR="00CC49DC" w:rsidP="00CC49DC">
      <w:pPr>
        <w:pStyle w:val="BodyText"/>
      </w:pPr>
      <w:r w:rsidRPr="004F7D9A">
        <w:t>X – Logistics</w:t>
      </w:r>
    </w:p>
    <w:p w:rsidR="00000000" w:rsidRPr="004F7D9A" w:rsidP="004F7D9A">
      <w:pPr>
        <w:pStyle w:val="Heading1"/>
      </w:pPr>
      <w:bookmarkStart w:id="5" w:name="O_838447"/>
      <w:bookmarkEnd w:id="5"/>
      <w:r w:rsidRPr="004F7D9A">
        <w:t>Unit Sector</w:t>
      </w:r>
    </w:p>
    <w:p w:rsidR="00CC49DC" w:rsidP="00CC49DC">
      <w:pPr>
        <w:pStyle w:val="BodyText"/>
      </w:pPr>
      <w:r w:rsidRPr="004F7D9A">
        <w:t>Not applicable.</w:t>
      </w:r>
    </w:p>
    <w:p w:rsidR="00000000" w:rsidRPr="004F7D9A" w:rsidP="004F7D9A">
      <w:pPr>
        <w:pStyle w:val="Heading1"/>
      </w:pPr>
      <w:bookmarkStart w:id="6" w:name="O_838448"/>
      <w:bookmarkEnd w:id="6"/>
      <w:r w:rsidRPr="004F7D9A">
        <w:t>Elements and Performance Criteria</w:t>
      </w:r>
    </w:p>
    <w:tbl>
      <w:tblPr>
        <w:tblW w:w="0" w:type="auto"/>
        <w:tblCellMar>
          <w:left w:w="62" w:type="dxa"/>
          <w:right w:w="62" w:type="dxa"/>
        </w:tblCellMar>
        <w:tblLook w:val="0000"/>
      </w:tblPr>
      <w:tblGrid>
        <w:gridCol w:w="348"/>
        <w:gridCol w:w="1852"/>
        <w:gridCol w:w="1"/>
        <w:gridCol w:w="578"/>
        <w:gridCol w:w="6417"/>
      </w:tblGrid>
      <w:tr w:rsidTr="00CC49D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F7D9A" w:rsidP="004F7D9A">
            <w:pPr>
              <w:pStyle w:val="BodyText"/>
            </w:pPr>
            <w:r w:rsidRPr="004F7D9A">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rPr>
                <w:rStyle w:val="SpecialBold"/>
              </w:rPr>
              <w:t>PERFORMANCE CRITERIA</w:t>
            </w:r>
          </w:p>
        </w:tc>
      </w:tr>
      <w:tr w:rsidTr="00CC49D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 xml:space="preserve">Elements describe the </w:t>
            </w:r>
            <w:r w:rsidRPr="004F7D9A">
              <w:t>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 xml:space="preserve">Performance criteria describe the performance needed to demonstrate achievement of the </w:t>
            </w:r>
            <w:r w:rsidRPr="004F7D9A">
              <w:t>element.</w:t>
            </w:r>
          </w:p>
        </w:tc>
      </w:tr>
      <w:tr w:rsidTr="00CC49D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F7D9A" w:rsidP="004F7D9A">
            <w:pPr>
              <w:pStyle w:val="BodyText"/>
            </w:pPr>
            <w:r w:rsidRPr="004F7D9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rPr>
                <w:rStyle w:val="SpecialBold"/>
              </w:rPr>
              <w:t>Read and int</w:t>
            </w:r>
            <w:r w:rsidRPr="004F7D9A">
              <w:rPr>
                <w:rStyle w:val="SpecialBold"/>
              </w:rPr>
              <w:t>erpret documents for import consignment</w:t>
            </w: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1.1</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Documents for import transaction are reviewed and assessed for compliance with legislative and regulatory requirements</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1.2</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Australian Customs Act and/or other legislation is accessed and implications for import clearance is determined</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1.3</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Missing or ambiguous documents and/or information is identified and client is advised</w:t>
            </w:r>
          </w:p>
        </w:tc>
      </w:tr>
      <w:tr w:rsidTr="00CC49D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F7D9A" w:rsidP="004F7D9A">
            <w:pPr>
              <w:pStyle w:val="BodyText"/>
            </w:pPr>
            <w:r w:rsidRPr="004F7D9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rPr>
                <w:rStyle w:val="SpecialBold"/>
              </w:rPr>
              <w:t>Identify and analyse problems</w:t>
            </w: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2.1</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Requirements for import clearance transactions are analysed and concerns are identified and documented</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2.2</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Implications and risks associated with identified concerns are assessed and recorded in accordance with workplace procedures</w:t>
            </w:r>
          </w:p>
        </w:tc>
      </w:tr>
      <w:tr w:rsidTr="00CC49D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F7D9A" w:rsidP="004F7D9A">
            <w:pPr>
              <w:pStyle w:val="BodyText"/>
            </w:pPr>
            <w:r w:rsidRPr="004F7D9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rPr>
                <w:rStyle w:val="SpecialBold"/>
              </w:rPr>
              <w:t>Develop and review</w:t>
            </w:r>
            <w:r w:rsidRPr="004F7D9A">
              <w:rPr>
                <w:rStyle w:val="SpecialBold"/>
              </w:rPr>
              <w:t xml:space="preserve"> alternative solutions</w:t>
            </w: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3.1</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Appropriate alternative solutions to identified issues and problems are developed with due consideration to managing the risks involved, legislative requirements and client needs</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3.2</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Com</w:t>
            </w:r>
            <w:r w:rsidRPr="004F7D9A">
              <w:t>parative benefits and risks of alternative solutions are assessed and documented in accordance with workplace procedures</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3.3</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Various options are reviewed in terms of their comparative benefits and risks and review outcomes are documented as required</w:t>
            </w:r>
          </w:p>
        </w:tc>
      </w:tr>
      <w:tr w:rsidTr="00CC49D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F7D9A" w:rsidP="004F7D9A">
            <w:pPr>
              <w:pStyle w:val="BodyText"/>
            </w:pPr>
            <w:r w:rsidRPr="004F7D9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rPr>
                <w:rStyle w:val="SpecialBold"/>
              </w:rPr>
              <w:t>Select and justify solution</w:t>
            </w: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4.1</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Alternative solutions are developed based on review outcomes and preferred solution/s are selected</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4.2</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Selection justification is documented in accordance with workplace procedures and policies, with due reference to compliance with all legislative requirements, selected solution benefits, risks involved and how they will be managed</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4.3</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Critical issues i</w:t>
            </w:r>
            <w:r w:rsidRPr="004F7D9A">
              <w:t>dentified during the review and assessment processes are discussed and cleared with relevant internal and external personnel as required</w:t>
            </w:r>
          </w:p>
        </w:tc>
      </w:tr>
      <w:tr w:rsidTr="00CC49D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F7D9A" w:rsidP="004F7D9A">
            <w:pPr>
              <w:pStyle w:val="BodyText"/>
            </w:pPr>
            <w:r w:rsidRPr="004F7D9A">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rPr>
                <w:rStyle w:val="SpecialBold"/>
              </w:rPr>
              <w:t>Complete border clearance transaction</w:t>
            </w: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5.1</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Results of integrated border clearance transaction review are discussed wi</w:t>
            </w:r>
            <w:r w:rsidRPr="004F7D9A">
              <w:t xml:space="preserve">th client </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5.2</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 xml:space="preserve">Advice is provided to client on border clearance transaction, recommended solution and recommendation rationale </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5.3</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Integrated border clearance transaction is completed in accordance with agreed approach, relevant legislative requirements and workplace procedures</w:t>
            </w:r>
          </w:p>
        </w:tc>
      </w:tr>
      <w:tr w:rsidTr="00CC49D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F7D9A" w:rsidP="004F7D9A">
            <w:pPr>
              <w:pStyle w:val="BodyText"/>
            </w:pPr>
            <w:r w:rsidRPr="004F7D9A">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rPr>
                <w:rStyle w:val="SpecialBold"/>
              </w:rPr>
              <w:t xml:space="preserve">Document and record border clearance </w:t>
            </w:r>
            <w:r w:rsidRPr="004F7D9A">
              <w:rPr>
                <w:rStyle w:val="SpecialBold"/>
              </w:rPr>
              <w:t>transaction</w:t>
            </w: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6.1</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Required documentation for integrated</w:t>
            </w:r>
            <w:r w:rsidRPr="004F7D9A">
              <w:t xml:space="preserve"> border clearance transaction is completed and verified in accordance with legislative requirements and workplace procedures</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6.2</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Information is entered into appropriate systems as required</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6.3</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Records are made of integrated border clearance transacti</w:t>
            </w:r>
            <w:r w:rsidRPr="004F7D9A">
              <w:t>on and information on specific issues, problems and related solutions adopted, and action taken</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6.4</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Relevant information concerning integrated border clearance transaction is forwarded to client and relevant internal and external personnel, for compliance with customs and related legislation requirements, in accordance with workplace and organisational p</w:t>
            </w:r>
            <w:r w:rsidRPr="004F7D9A">
              <w:t>rocedures</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6.5</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Integrated border transaction records are retained in accordance with customs and relevant legislative requirements, and workplace and organisational procedures</w:t>
            </w:r>
          </w:p>
        </w:tc>
      </w:tr>
      <w:tr w:rsidTr="00CC49D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F7D9A" w:rsidP="004F7D9A">
            <w:pPr>
              <w:pStyle w:val="BodyText"/>
            </w:pPr>
            <w:r w:rsidRPr="004F7D9A">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rPr>
                <w:rStyle w:val="SpecialBold"/>
              </w:rPr>
              <w:t>Implement formal review mechanisms for dispute resolution</w:t>
            </w: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7.1</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Need for a fo</w:t>
            </w:r>
            <w:r w:rsidRPr="004F7D9A">
              <w:t xml:space="preserve">rmal review of a dispute related to a border transaction is identified in accordance with relevant legislative and regulatory requirements </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7.2</w:t>
            </w:r>
          </w:p>
        </w:tc>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Appropriate review mechanism for a dispute related to a border transaction is identified in acc</w:t>
            </w:r>
            <w:r w:rsidRPr="004F7D9A">
              <w:t>ordance with relevant legislative and regulatory requirements</w:t>
            </w:r>
          </w:p>
        </w:tc>
      </w:tr>
      <w:tr w:rsidTr="00CC49D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7.3</w:t>
            </w:r>
          </w:p>
        </w:tc>
        <w:tc>
          <w:tcPr>
            <w:tcW w:w="0" w:type="auto"/>
            <w:tcBorders>
              <w:top w:val="nil"/>
              <w:left w:val="nil"/>
              <w:bottom w:val="nil"/>
              <w:right w:val="nil"/>
            </w:tcBorders>
            <w:tcMar>
              <w:top w:w="0" w:type="dxa"/>
              <w:left w:w="62" w:type="dxa"/>
              <w:bottom w:w="0" w:type="dxa"/>
              <w:right w:w="62" w:type="dxa"/>
            </w:tcMar>
          </w:tcPr>
          <w:p w:rsidR="00000000" w:rsidRPr="004F7D9A" w:rsidP="004F7D9A">
            <w:pPr>
              <w:pStyle w:val="BodyText"/>
            </w:pPr>
            <w:r w:rsidRPr="004F7D9A">
              <w:t>Identified review mechanism is implemented to resolve border transaction dispute in accordance with relevant legislative and regulatory requirements</w:t>
            </w:r>
          </w:p>
        </w:tc>
      </w:tr>
    </w:tbl>
    <w:p w:rsidR="00CC49DC" w:rsidP="004F7D9A">
      <w:pPr>
        <w:pStyle w:val="BodyText"/>
      </w:pPr>
    </w:p>
    <w:p w:rsidR="00CC49DC" w:rsidP="004F7D9A">
      <w:pPr>
        <w:pStyle w:val="BodyText"/>
      </w:pPr>
    </w:p>
    <w:p w:rsidR="00000000" w:rsidRPr="004F7D9A" w:rsidP="004F7D9A">
      <w:pPr>
        <w:pStyle w:val="Heading1"/>
      </w:pPr>
      <w:bookmarkStart w:id="7" w:name="O_838449"/>
      <w:bookmarkEnd w:id="7"/>
      <w:r w:rsidRPr="004F7D9A">
        <w:t>Foundation Skills</w:t>
      </w:r>
    </w:p>
    <w:p w:rsidR="00CC49DC" w:rsidP="00CC49DC">
      <w:pPr>
        <w:pStyle w:val="BodyText"/>
      </w:pPr>
      <w:r w:rsidRPr="004F7D9A">
        <w:t>Foundation skills essential to performance are explicit in the performance criteria of this unit of competency.</w:t>
      </w:r>
    </w:p>
    <w:p w:rsidR="00000000" w:rsidRPr="004F7D9A" w:rsidP="004F7D9A">
      <w:pPr>
        <w:pStyle w:val="Heading1"/>
      </w:pPr>
      <w:bookmarkStart w:id="8" w:name="O_838450"/>
      <w:bookmarkEnd w:id="8"/>
      <w:r w:rsidRPr="004F7D9A">
        <w:t>Range of Conditions</w:t>
      </w:r>
    </w:p>
    <w:p w:rsidR="00000000" w:rsidRPr="004F7D9A" w:rsidP="00CC49DC">
      <w:pPr>
        <w:pStyle w:val="BodyText"/>
      </w:pPr>
      <w:r w:rsidRPr="004F7D9A">
        <w:t>Range is restricted to essential operating conditions and any other variables essential to the work enviro</w:t>
      </w:r>
      <w:r w:rsidRPr="004F7D9A">
        <w:t>nment.</w:t>
      </w:r>
    </w:p>
    <w:p w:rsidR="00CC49DC" w:rsidP="00CC49DC">
      <w:pPr>
        <w:pStyle w:val="BodyText"/>
      </w:pPr>
      <w:r w:rsidRPr="004F7D9A">
        <w:t>Non-essential conditions can be found in the Companion Volume Implementation Guide.</w:t>
      </w:r>
    </w:p>
    <w:p w:rsidR="00000000" w:rsidRPr="004F7D9A" w:rsidP="004F7D9A">
      <w:pPr>
        <w:pStyle w:val="Heading1"/>
      </w:pPr>
      <w:bookmarkStart w:id="9" w:name="O_838451"/>
      <w:bookmarkEnd w:id="9"/>
      <w:r w:rsidRPr="004F7D9A">
        <w:t>Unit Mapping Information</w:t>
      </w:r>
    </w:p>
    <w:p w:rsidR="00CC49DC" w:rsidP="00CC49DC">
      <w:pPr>
        <w:pStyle w:val="BodyText"/>
      </w:pPr>
      <w:r w:rsidRPr="004F7D9A">
        <w:t>This unit replaces and is equivalent to TLIX4036A Analyse, advise on and carry out integrated border clearance transactions.</w:t>
      </w:r>
    </w:p>
    <w:p w:rsidR="00000000" w:rsidRPr="004F7D9A" w:rsidP="004F7D9A">
      <w:pPr>
        <w:pStyle w:val="Heading1"/>
      </w:pPr>
      <w:bookmarkStart w:id="10" w:name="O_838458"/>
      <w:bookmarkEnd w:id="10"/>
      <w:r w:rsidRPr="004F7D9A">
        <w:t>Links</w:t>
      </w:r>
    </w:p>
    <w:p w:rsidR="00000000" w:rsidRPr="004F7D9A" w:rsidP="00CC49DC">
      <w:pPr>
        <w:pStyle w:val="BodyText"/>
      </w:pPr>
      <w:r w:rsidRPr="004F7D9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47B92">
        <w:rPr>
          <w:rStyle w:val="Hyperlink"/>
        </w:rPr>
        <w:t>https://vetnet.gov.au/Pages/TrainingDocs.aspx?q=df441c6e-213d-43e3-874c-0b3f7036d851</w:t>
      </w:r>
      <w:r>
        <w:fldChar w:fldCharType="end"/>
      </w:r>
    </w:p>
    <w:p w:rsidR="00000000" w:rsidRPr="004F7D9A" w:rsidP="00CC49DC">
      <w:pPr>
        <w:pStyle w:val="BodyText"/>
        <w:sectPr w:rsidSect="004F7D9A">
          <w:headerReference w:type="default" r:id="rId10"/>
          <w:footerReference w:type="default" r:id="rId11"/>
          <w:pgSz w:w="11908" w:h="16833"/>
          <w:pgMar w:top="1702" w:right="1418" w:bottom="1702" w:left="1418" w:header="992" w:footer="992" w:gutter="0"/>
          <w:cols w:space="720"/>
          <w:noEndnote/>
          <w:docGrid w:linePitch="299"/>
        </w:sectPr>
      </w:pPr>
    </w:p>
    <w:p w:rsidR="00000000" w:rsidRPr="004F7D9A" w:rsidP="004F7D9A">
      <w:pPr>
        <w:pStyle w:val="SuperHeading"/>
      </w:pPr>
      <w:r w:rsidRPr="004F7D9A">
        <w:t>Assessment Requirements for TLIX4036 Analyse, advise on and car</w:t>
      </w:r>
      <w:r w:rsidRPr="004F7D9A">
        <w:t>ry out integrated border clearance transactions</w:t>
      </w:r>
    </w:p>
    <w:p w:rsidR="00000000" w:rsidRPr="004F7D9A" w:rsidP="004F7D9A">
      <w:pPr>
        <w:pStyle w:val="Heading1"/>
      </w:pPr>
      <w:bookmarkStart w:id="11" w:name="O_838453"/>
      <w:bookmarkEnd w:id="11"/>
      <w:r w:rsidRPr="004F7D9A">
        <w:t>Modification History</w:t>
      </w:r>
    </w:p>
    <w:p w:rsidR="00CC49DC" w:rsidP="00CC49DC">
      <w:pPr>
        <w:pStyle w:val="BodyText"/>
      </w:pPr>
      <w:r w:rsidRPr="004F7D9A">
        <w:t>Release 1. This is the first release of this unit of competency in the TLI Transport and Logistics Training Package.</w:t>
      </w:r>
    </w:p>
    <w:p w:rsidR="00000000" w:rsidRPr="004F7D9A" w:rsidP="004F7D9A">
      <w:pPr>
        <w:pStyle w:val="Heading1"/>
      </w:pPr>
      <w:bookmarkStart w:id="12" w:name="O_838454"/>
      <w:bookmarkEnd w:id="12"/>
      <w:r w:rsidRPr="004F7D9A">
        <w:t>Performance Evidence</w:t>
      </w:r>
    </w:p>
    <w:tbl>
      <w:tblPr>
        <w:tblW w:w="0" w:type="auto"/>
        <w:tblCellMar>
          <w:left w:w="62" w:type="dxa"/>
          <w:right w:w="62" w:type="dxa"/>
        </w:tblCellMar>
        <w:tblLook w:val="0000"/>
      </w:tblPr>
      <w:tblGrid>
        <w:gridCol w:w="9196"/>
      </w:tblGrid>
      <w:tr w:rsidTr="00CC49DC">
        <w:tblPrEx>
          <w:tblW w:w="0" w:type="auto"/>
          <w:tblCellMar>
            <w:left w:w="62" w:type="dxa"/>
            <w:right w:w="62" w:type="dxa"/>
          </w:tblCellMar>
          <w:tblLook w:val="0000"/>
        </w:tblPrEx>
        <w:trPr>
          <w:trHeight w:val="1065"/>
        </w:trPr>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Evidence requir</w:t>
            </w:r>
            <w:r w:rsidRPr="004F7D9A">
              <w:t>ed to demonstrate competence in this unit must be relevant to and satisfy all of the requirements of the elements and performance criteria on at least one occasion and include:</w:t>
            </w:r>
          </w:p>
        </w:tc>
      </w:tr>
      <w:tr w:rsidTr="00CC49DC">
        <w:tblPrEx>
          <w:tblW w:w="0" w:type="auto"/>
          <w:tblCellMar>
            <w:left w:w="62" w:type="dxa"/>
            <w:right w:w="62" w:type="dxa"/>
          </w:tblCellMar>
          <w:tblLook w:val="0000"/>
        </w:tblPrEx>
        <w:trPr>
          <w:trHeight w:val="2772"/>
        </w:trPr>
        <w:tc>
          <w:tcPr>
            <w:tcW w:w="0" w:type="auto"/>
            <w:tcBorders>
              <w:top w:val="nil"/>
              <w:left w:val="nil"/>
              <w:bottom w:val="nil"/>
              <w:right w:val="nil"/>
            </w:tcBorders>
            <w:tcMar>
              <w:top w:w="0" w:type="dxa"/>
              <w:left w:w="62" w:type="dxa"/>
              <w:bottom w:w="0" w:type="dxa"/>
              <w:right w:w="62" w:type="dxa"/>
            </w:tcMar>
          </w:tcPr>
          <w:p w:rsidR="00000000" w:rsidRPr="004F7D9A" w:rsidP="004F7D9A">
            <w:pPr>
              <w:pStyle w:val="ListBullet"/>
            </w:pPr>
            <w:r w:rsidRPr="004F7D9A">
              <w:t>developing and reviewing alternative solutions</w:t>
            </w:r>
          </w:p>
          <w:p w:rsidR="00000000" w:rsidRPr="004F7D9A" w:rsidP="004F7D9A">
            <w:pPr>
              <w:pStyle w:val="ListBullet"/>
            </w:pPr>
            <w:r w:rsidRPr="004F7D9A">
              <w:t>identifying and analysing problems that may arise in completing border clearance transactions</w:t>
            </w:r>
          </w:p>
          <w:p w:rsidR="00000000" w:rsidRPr="004F7D9A" w:rsidP="004F7D9A">
            <w:pPr>
              <w:pStyle w:val="ListBullet"/>
            </w:pPr>
            <w:r w:rsidRPr="004F7D9A">
              <w:t>identifying and resolving import prohibitions and restrictions</w:t>
            </w:r>
          </w:p>
          <w:p w:rsidR="00000000" w:rsidRPr="004F7D9A" w:rsidP="004F7D9A">
            <w:pPr>
              <w:pStyle w:val="ListBullet"/>
            </w:pPr>
            <w:r w:rsidRPr="004F7D9A">
              <w:t xml:space="preserve">reading and interpreting relevant instructions, procedures and information for analysing, advising </w:t>
            </w:r>
            <w:r w:rsidRPr="004F7D9A">
              <w:t>on and conducting border clearance transactions</w:t>
            </w:r>
          </w:p>
          <w:p w:rsidR="00000000" w:rsidRPr="004F7D9A" w:rsidP="004F7D9A">
            <w:pPr>
              <w:pStyle w:val="ListBullet"/>
            </w:pPr>
            <w:r w:rsidRPr="004F7D9A">
              <w:t>reading and interpreting legislation</w:t>
            </w:r>
          </w:p>
          <w:p w:rsidR="00000000" w:rsidRPr="004F7D9A" w:rsidP="004F7D9A">
            <w:pPr>
              <w:pStyle w:val="ListBullet"/>
            </w:pPr>
            <w:r w:rsidRPr="004F7D9A">
              <w:t>reading and interpreting transaction request facts based on documentation presented</w:t>
            </w:r>
          </w:p>
          <w:p w:rsidR="00000000" w:rsidRPr="004F7D9A" w:rsidP="004F7D9A">
            <w:pPr>
              <w:pStyle w:val="ListBullet"/>
            </w:pPr>
            <w:r w:rsidRPr="004F7D9A">
              <w:t>selecting and justifying solutions to typical border clearance transaction problems.</w:t>
            </w:r>
          </w:p>
        </w:tc>
      </w:tr>
    </w:tbl>
    <w:p w:rsidR="00000000" w:rsidRPr="004F7D9A" w:rsidP="004F7D9A">
      <w:pPr>
        <w:pStyle w:val="BodyText"/>
      </w:pPr>
    </w:p>
    <w:p w:rsidR="00000000" w:rsidRPr="004F7D9A" w:rsidP="004F7D9A">
      <w:pPr>
        <w:pStyle w:val="AllowPageBreak"/>
      </w:pPr>
    </w:p>
    <w:p w:rsidR="00000000" w:rsidRPr="004F7D9A" w:rsidP="004F7D9A">
      <w:pPr>
        <w:pStyle w:val="Heading1"/>
      </w:pPr>
      <w:bookmarkStart w:id="13" w:name="O_838455"/>
      <w:bookmarkEnd w:id="13"/>
      <w:r w:rsidRPr="004F7D9A">
        <w:t>Knowledge Evidence</w:t>
      </w:r>
    </w:p>
    <w:tbl>
      <w:tblPr>
        <w:tblW w:w="0" w:type="auto"/>
        <w:tblCellMar>
          <w:left w:w="62" w:type="dxa"/>
          <w:right w:w="62" w:type="dxa"/>
        </w:tblCellMar>
        <w:tblLook w:val="0000"/>
      </w:tblPr>
      <w:tblGrid>
        <w:gridCol w:w="9196"/>
      </w:tblGrid>
      <w:tr w:rsidTr="00CC49DC">
        <w:tblPrEx>
          <w:tblW w:w="0" w:type="auto"/>
          <w:tblCellMar>
            <w:left w:w="62" w:type="dxa"/>
            <w:right w:w="62" w:type="dxa"/>
          </w:tblCellMar>
          <w:tblLook w:val="0000"/>
        </w:tblPrEx>
        <w:trPr>
          <w:trHeight w:val="1116"/>
        </w:trPr>
        <w:tc>
          <w:tcPr>
            <w:tcW w:w="0" w:type="auto"/>
            <w:tcBorders>
              <w:top w:val="nil"/>
              <w:left w:val="nil"/>
              <w:bottom w:val="nil"/>
              <w:right w:val="nil"/>
            </w:tcBorders>
            <w:tcMar>
              <w:top w:w="0" w:type="dxa"/>
              <w:left w:w="62" w:type="dxa"/>
              <w:bottom w:w="0" w:type="dxa"/>
              <w:right w:w="62" w:type="dxa"/>
            </w:tcMar>
          </w:tcPr>
          <w:p w:rsidR="00000000" w:rsidP="004F7D9A">
            <w:pPr>
              <w:pStyle w:val="BodyText"/>
              <w:rPr>
                <w:lang w:val="en-NZ"/>
              </w:rPr>
            </w:pPr>
            <w:r w:rsidRPr="004F7D9A">
              <w:t>Evidence required to demonstrate competence in this unit must be relevant to and satisfy all of the requirements of the elements and performance criteria and include knowledge of:</w:t>
            </w:r>
          </w:p>
        </w:tc>
      </w:tr>
      <w:tr w:rsidTr="00CC49DC">
        <w:tblPrEx>
          <w:tblW w:w="0" w:type="auto"/>
          <w:tblCellMar>
            <w:left w:w="62" w:type="dxa"/>
            <w:right w:w="62" w:type="dxa"/>
          </w:tblCellMar>
          <w:tblLook w:val="0000"/>
        </w:tblPrEx>
        <w:trPr>
          <w:trHeight w:val="2269"/>
        </w:trPr>
        <w:tc>
          <w:tcPr>
            <w:tcW w:w="0" w:type="auto"/>
            <w:tcBorders>
              <w:top w:val="nil"/>
              <w:left w:val="nil"/>
              <w:bottom w:val="nil"/>
              <w:right w:val="nil"/>
            </w:tcBorders>
            <w:tcMar>
              <w:top w:w="0" w:type="dxa"/>
              <w:left w:w="62" w:type="dxa"/>
              <w:bottom w:w="0" w:type="dxa"/>
              <w:right w:w="62" w:type="dxa"/>
            </w:tcMar>
          </w:tcPr>
          <w:p w:rsidR="00000000" w:rsidRPr="004F7D9A" w:rsidP="004F7D9A">
            <w:pPr>
              <w:pStyle w:val="ListBullet"/>
            </w:pPr>
            <w:r w:rsidRPr="004F7D9A">
              <w:t>biosecurity requirements</w:t>
            </w:r>
          </w:p>
          <w:p w:rsidR="00000000" w:rsidRPr="004F7D9A" w:rsidP="004F7D9A">
            <w:pPr>
              <w:pStyle w:val="ListBullet"/>
            </w:pPr>
            <w:r w:rsidRPr="004F7D9A">
              <w:t>classification of a consignment in accordance with the Australian Customs Tariff Act</w:t>
            </w:r>
          </w:p>
          <w:p w:rsidR="00000000" w:rsidRPr="004F7D9A" w:rsidP="004F7D9A">
            <w:pPr>
              <w:pStyle w:val="ListBullet"/>
            </w:pPr>
            <w:r w:rsidRPr="004F7D9A">
              <w:t>commercial and shipping documentation</w:t>
            </w:r>
          </w:p>
          <w:p w:rsidR="00000000" w:rsidRPr="004F7D9A" w:rsidP="004F7D9A">
            <w:pPr>
              <w:pStyle w:val="ListBullet"/>
            </w:pPr>
            <w:r w:rsidRPr="004F7D9A">
              <w:t xml:space="preserve">current Incoterms </w:t>
            </w:r>
          </w:p>
          <w:p w:rsidR="00000000" w:rsidRPr="004F7D9A" w:rsidP="004F7D9A">
            <w:pPr>
              <w:pStyle w:val="ListBullet"/>
            </w:pPr>
            <w:r w:rsidRPr="004F7D9A">
              <w:t>customs and other legislation and policy relevant to the border clearance function</w:t>
            </w:r>
          </w:p>
          <w:p w:rsidR="00000000" w:rsidRPr="004F7D9A" w:rsidP="004F7D9A">
            <w:pPr>
              <w:pStyle w:val="ListBullet"/>
            </w:pPr>
            <w:r w:rsidRPr="004F7D9A">
              <w:t xml:space="preserve">documentation requirements for </w:t>
            </w:r>
            <w:r w:rsidRPr="004F7D9A">
              <w:t>analysing, advising on and conducting integrated border clearance transactions</w:t>
            </w:r>
          </w:p>
          <w:p w:rsidR="00000000" w:rsidRPr="004F7D9A" w:rsidP="004F7D9A">
            <w:pPr>
              <w:pStyle w:val="ListBullet"/>
            </w:pPr>
            <w:r w:rsidRPr="004F7D9A">
              <w:t>duty concessions</w:t>
            </w:r>
          </w:p>
          <w:p w:rsidR="00000000" w:rsidRPr="004F7D9A" w:rsidP="004F7D9A">
            <w:pPr>
              <w:pStyle w:val="ListBullet"/>
            </w:pPr>
            <w:r w:rsidRPr="004F7D9A">
              <w:t>goods and services tax (GST)</w:t>
            </w:r>
          </w:p>
          <w:p w:rsidR="00000000" w:rsidRPr="004F7D9A" w:rsidP="004F7D9A">
            <w:pPr>
              <w:pStyle w:val="ListBullet"/>
            </w:pPr>
            <w:r w:rsidRPr="004F7D9A">
              <w:t>how to complete border clearance transaction</w:t>
            </w:r>
          </w:p>
          <w:p w:rsidR="00000000" w:rsidRPr="004F7D9A" w:rsidP="004F7D9A">
            <w:pPr>
              <w:pStyle w:val="ListBullet"/>
            </w:pPr>
            <w:r w:rsidRPr="004F7D9A">
              <w:t>issues relevant to a border clearance and appropriate action that can be taken to deal</w:t>
            </w:r>
            <w:r w:rsidRPr="004F7D9A">
              <w:t xml:space="preserve"> with such issues </w:t>
            </w:r>
          </w:p>
          <w:p w:rsidR="00000000" w:rsidRPr="004F7D9A" w:rsidP="004F7D9A">
            <w:pPr>
              <w:pStyle w:val="ListBullet"/>
            </w:pPr>
            <w:r w:rsidRPr="004F7D9A">
              <w:t>other indirect taxes, including dumping and countervailing, wine equalisation tax (WET), luxury car tax (LCT)</w:t>
            </w:r>
          </w:p>
          <w:p w:rsidR="00000000" w:rsidRPr="004F7D9A" w:rsidP="004F7D9A">
            <w:pPr>
              <w:pStyle w:val="ListBullet"/>
            </w:pPr>
            <w:r w:rsidRPr="004F7D9A">
              <w:t>preferential trade agreements including free trade agreements</w:t>
            </w:r>
          </w:p>
          <w:p w:rsidR="00000000" w:rsidRPr="004F7D9A" w:rsidP="004F7D9A">
            <w:pPr>
              <w:pStyle w:val="ListBullet"/>
            </w:pPr>
            <w:r w:rsidRPr="004F7D9A">
              <w:t>sources of information on new developments in border clearance an</w:t>
            </w:r>
            <w:r w:rsidRPr="004F7D9A">
              <w:t>d related legislative requirements</w:t>
            </w:r>
          </w:p>
          <w:p w:rsidR="00000000" w:rsidRPr="004F7D9A" w:rsidP="004F7D9A">
            <w:pPr>
              <w:pStyle w:val="ListBullet"/>
            </w:pPr>
            <w:r w:rsidRPr="004F7D9A">
              <w:t>valuation of a consignment in accordance with the Customs Act</w:t>
            </w:r>
          </w:p>
          <w:p w:rsidR="00000000" w:rsidRPr="004F7D9A" w:rsidP="004F7D9A">
            <w:pPr>
              <w:pStyle w:val="ListBullet"/>
            </w:pPr>
            <w:r w:rsidRPr="004F7D9A">
              <w:t>ways of learning skills and knowledge required for new developments in border clearance and related legislative requirements.</w:t>
            </w:r>
          </w:p>
        </w:tc>
      </w:tr>
    </w:tbl>
    <w:p w:rsidR="00CC49DC" w:rsidP="004F7D9A">
      <w:pPr>
        <w:pStyle w:val="BodyText"/>
      </w:pPr>
    </w:p>
    <w:p w:rsidR="00CC49DC" w:rsidP="004F7D9A">
      <w:pPr>
        <w:pStyle w:val="BodyText"/>
      </w:pPr>
    </w:p>
    <w:p w:rsidR="00000000" w:rsidRPr="004F7D9A" w:rsidP="004F7D9A">
      <w:pPr>
        <w:pStyle w:val="Heading1"/>
      </w:pPr>
      <w:bookmarkStart w:id="14" w:name="O_838456"/>
      <w:bookmarkEnd w:id="14"/>
      <w:r w:rsidRPr="004F7D9A">
        <w:t>Assessment Conditions</w:t>
      </w:r>
    </w:p>
    <w:tbl>
      <w:tblPr>
        <w:tblW w:w="0" w:type="auto"/>
        <w:tblCellMar>
          <w:left w:w="62" w:type="dxa"/>
          <w:right w:w="62" w:type="dxa"/>
        </w:tblCellMar>
        <w:tblLook w:val="0000"/>
      </w:tblPr>
      <w:tblGrid>
        <w:gridCol w:w="9196"/>
      </w:tblGrid>
      <w:tr w:rsidTr="00CC49DC">
        <w:tblPrEx>
          <w:tblW w:w="0" w:type="auto"/>
          <w:tblCellMar>
            <w:left w:w="62" w:type="dxa"/>
            <w:right w:w="62" w:type="dxa"/>
          </w:tblCellMar>
          <w:tblLook w:val="0000"/>
        </w:tblPrEx>
        <w:trPr>
          <w:trHeight w:val="145"/>
        </w:trPr>
        <w:tc>
          <w:tcPr>
            <w:tcW w:w="0" w:type="auto"/>
            <w:tcBorders>
              <w:top w:val="nil"/>
              <w:left w:val="nil"/>
              <w:bottom w:val="nil"/>
              <w:right w:val="nil"/>
            </w:tcBorders>
            <w:tcMar>
              <w:top w:w="0" w:type="dxa"/>
              <w:left w:w="62" w:type="dxa"/>
              <w:bottom w:w="0" w:type="dxa"/>
              <w:right w:w="62" w:type="dxa"/>
            </w:tcMar>
          </w:tcPr>
          <w:p w:rsidR="00000000" w:rsidRPr="004F7D9A" w:rsidP="004F7D9A">
            <w:pPr>
              <w:pStyle w:val="BodyText"/>
            </w:pPr>
            <w:r w:rsidRPr="004F7D9A">
              <w:t xml:space="preserve">As a minimum, assessors must satisfy applicable regulatory requirements, which include requirements in </w:t>
            </w:r>
            <w:r w:rsidRPr="004F7D9A">
              <w:rPr>
                <w:rStyle w:val="Emphasis"/>
              </w:rPr>
              <w:t>the Standards for Registered Training Organisations</w:t>
            </w:r>
            <w:r w:rsidRPr="004F7D9A">
              <w:t xml:space="preserve"> current at the time of assessment. </w:t>
            </w:r>
          </w:p>
          <w:p w:rsidR="00000000" w:rsidRPr="004F7D9A" w:rsidP="004F7D9A">
            <w:pPr>
              <w:pStyle w:val="BodyText"/>
            </w:pPr>
            <w:r w:rsidRPr="004F7D9A">
              <w:t>As a minimum, assessment must satisfy appli</w:t>
            </w:r>
            <w:r w:rsidRPr="004F7D9A">
              <w:t xml:space="preserve">cable regulatory requirements, which include requirements in the </w:t>
            </w:r>
            <w:r w:rsidRPr="004F7D9A">
              <w:rPr>
                <w:rStyle w:val="Emphasis"/>
              </w:rPr>
              <w:t>Standards for Registered Training Organisations</w:t>
            </w:r>
            <w:r w:rsidRPr="004F7D9A">
              <w:t xml:space="preserve"> current at the time of assessment.</w:t>
            </w:r>
          </w:p>
          <w:p w:rsidR="00000000" w:rsidRPr="004F7D9A" w:rsidP="004F7D9A">
            <w:pPr>
              <w:pStyle w:val="BodyText"/>
            </w:pPr>
            <w:r w:rsidRPr="004F7D9A">
              <w:t>Assessment must occur in workplace operational situations where it is appropriate to do so. Where this is no</w:t>
            </w:r>
            <w:r w:rsidRPr="004F7D9A">
              <w:t xml:space="preserve">t appropriate, assessment must occur in simulated workplace operational situations that replicate workplace conditions. </w:t>
            </w:r>
          </w:p>
          <w:p w:rsidR="00000000" w:rsidRPr="004F7D9A" w:rsidP="004F7D9A">
            <w:pPr>
              <w:pStyle w:val="BodyText"/>
            </w:pPr>
            <w:r w:rsidRPr="004F7D9A">
              <w:t>Assessment processes and techniques must be appropriate to the language, literacy and numeracy requirements of the work being performed</w:t>
            </w:r>
            <w:r w:rsidRPr="004F7D9A">
              <w:t xml:space="preserve"> and the needs of the candidate.</w:t>
            </w:r>
          </w:p>
          <w:p w:rsidR="00000000" w:rsidRPr="004F7D9A" w:rsidP="004F7D9A">
            <w:pPr>
              <w:pStyle w:val="BodyText"/>
            </w:pPr>
            <w:r w:rsidRPr="004F7D9A">
              <w:t>Resources for assessment include access to:</w:t>
            </w:r>
          </w:p>
          <w:p w:rsidR="00000000" w:rsidRPr="004F7D9A" w:rsidP="004F7D9A">
            <w:pPr>
              <w:pStyle w:val="ListBullet"/>
            </w:pPr>
            <w:r w:rsidRPr="004F7D9A">
              <w:t>a range of relevant exercises, case studies and/or simulations</w:t>
            </w:r>
          </w:p>
          <w:p w:rsidR="00000000" w:rsidRPr="004F7D9A" w:rsidP="004F7D9A">
            <w:pPr>
              <w:pStyle w:val="ListBullet"/>
            </w:pPr>
            <w:r w:rsidRPr="004F7D9A">
              <w:t>applicable documentation including workplace procedures, regulations, codes of practice and operation manuals</w:t>
            </w:r>
          </w:p>
          <w:p w:rsidR="00000000" w:rsidRPr="004F7D9A" w:rsidP="004F7D9A">
            <w:pPr>
              <w:pStyle w:val="ListBullet"/>
            </w:pPr>
            <w:r w:rsidRPr="004F7D9A">
              <w:t>relevant materials, tools, equipment and personal protective equipment currently used in the industry.</w:t>
            </w:r>
          </w:p>
        </w:tc>
      </w:tr>
    </w:tbl>
    <w:p w:rsidR="00CC49DC" w:rsidP="004F7D9A">
      <w:pPr>
        <w:pStyle w:val="BodyText"/>
      </w:pPr>
    </w:p>
    <w:p w:rsidR="00CC49DC" w:rsidP="004F7D9A">
      <w:pPr>
        <w:pStyle w:val="BodyText"/>
      </w:pPr>
    </w:p>
    <w:p w:rsidR="00000000" w:rsidRPr="004F7D9A" w:rsidP="004F7D9A">
      <w:pPr>
        <w:pStyle w:val="Heading1"/>
      </w:pPr>
      <w:bookmarkStart w:id="15" w:name="O_838459"/>
      <w:bookmarkEnd w:id="15"/>
      <w:r w:rsidRPr="004F7D9A">
        <w:t>Links</w:t>
      </w:r>
    </w:p>
    <w:p w:rsidR="00000000" w:rsidRPr="004F7D9A" w:rsidP="00CC49DC">
      <w:pPr>
        <w:pStyle w:val="BodyText"/>
      </w:pPr>
      <w:r w:rsidRPr="004F7D9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47B92">
        <w:rPr>
          <w:rStyle w:val="Hyperlink"/>
        </w:rPr>
        <w:t>https://vetnet.gov.au/Pages/TrainingDocs.aspx?q=df441c6e-213d-43e3-874c-0b3f7036d851</w:t>
      </w:r>
      <w:r>
        <w:fldChar w:fldCharType="end"/>
      </w:r>
    </w:p>
    <w:p w:rsidR="00000000" w:rsidRPr="004F7D9A" w:rsidP="004F7D9A"/>
    <w:sectPr w:rsidSect="004F7D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9A" w:rsidRPr="00CC49DC" w:rsidP="00CC49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9DC" w:rsidP="004F7D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49DC" w:rsidP="004F7D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C49DC" w:rsidP="004F7D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9A" w:rsidP="004F7D9A">
    <w:pPr>
      <w:pStyle w:val="Footer"/>
      <w:framePr w:wrap="around"/>
    </w:pPr>
    <w:r>
      <w:fldChar w:fldCharType="begin"/>
    </w:r>
    <w:r>
      <w:instrText xml:space="preserve"> DOCPROPERTY  Subject  \* MERGEFORMAT </w:instrText>
    </w:r>
    <w:r>
      <w:fldChar w:fldCharType="separate"/>
    </w:r>
    <w:r w:rsidR="00CC49DC">
      <w:t>Approved</w:t>
    </w:r>
    <w:r w:rsidR="00CC49DC">
      <w:fldChar w:fldCharType="end"/>
    </w:r>
    <w:r>
      <w:tab/>
      <w:t xml:space="preserve">Page </w:t>
    </w:r>
    <w:r>
      <w:fldChar w:fldCharType="begin"/>
    </w:r>
    <w:r>
      <w:instrText xml:space="preserve"> PAGE  \* Arabic  \* MERGEFORMAT </w:instrText>
    </w:r>
    <w:r>
      <w:fldChar w:fldCharType="separate"/>
    </w:r>
    <w:r w:rsidR="00CC49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49DC">
      <w:rPr>
        <w:noProof/>
      </w:rPr>
      <w:t>4</w:t>
    </w:r>
    <w:r>
      <w:rPr>
        <w:noProof/>
      </w:rPr>
      <w:fldChar w:fldCharType="end"/>
    </w:r>
  </w:p>
  <w:p w:rsidR="004F7D9A" w:rsidP="004F7D9A">
    <w:pPr>
      <w:pStyle w:val="Footer"/>
      <w:framePr w:wrap="around"/>
    </w:pPr>
    <w:r>
      <w:t xml:space="preserve">© Commonwealth of Australia, </w:t>
    </w:r>
    <w:r>
      <w:fldChar w:fldCharType="begin"/>
    </w:r>
    <w:r>
      <w:instrText xml:space="preserve"> DATE  \@ "yyyy"  \* MERGEFORMAT </w:instrText>
    </w:r>
    <w:r>
      <w:fldChar w:fldCharType="separate"/>
    </w:r>
    <w:r w:rsidR="00CC49DC">
      <w:rPr>
        <w:noProof/>
      </w:rPr>
      <w:t>2025</w:t>
    </w:r>
    <w:r>
      <w:fldChar w:fldCharType="end"/>
    </w:r>
    <w:r>
      <w:tab/>
    </w:r>
    <w:r>
      <w:fldChar w:fldCharType="begin"/>
    </w:r>
    <w:r>
      <w:instrText xml:space="preserve"> DOCPROPERTY  Author  \* MERGEFORMAT </w:instrText>
    </w:r>
    <w:r>
      <w:fldChar w:fldCharType="separate"/>
    </w:r>
    <w:r w:rsidR="00CC49DC">
      <w:t>Industry Skills Australia</w:t>
    </w:r>
    <w:r w:rsidR="00CC49DC">
      <w:fldChar w:fldCharType="end"/>
    </w:r>
  </w:p>
  <w:p w:rsidR="004F7D9A" w:rsidP="004F7D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9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D9A" w:rsidRPr="00CC49DC" w:rsidP="00CC49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9DC" w:rsidRPr="002D2AF8" w:rsidP="004F7D9A">
    <w:pPr>
      <w:pStyle w:val="Header"/>
      <w:framePr w:wrap="around"/>
    </w:pPr>
    <w:r>
      <w:fldChar w:fldCharType="begin"/>
    </w:r>
    <w:r>
      <w:instrText xml:space="preserve"> TITLE   \* MERGEFORMAT </w:instrText>
    </w:r>
    <w:r>
      <w:fldChar w:fldCharType="separate"/>
    </w:r>
    <w:r>
      <w:t>TLIX4036 Analyse, advise on and carry out integrated border clearance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49DC" w:rsidP="004F7D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9A" w:rsidRPr="002D2AF8" w:rsidP="004F7D9A">
    <w:pPr>
      <w:pStyle w:val="Header"/>
      <w:framePr w:wrap="around"/>
    </w:pPr>
    <w:r>
      <w:fldChar w:fldCharType="begin"/>
    </w:r>
    <w:r>
      <w:instrText xml:space="preserve"> TITLE   \* MERGEFORMAT </w:instrText>
    </w:r>
    <w:r>
      <w:fldChar w:fldCharType="separate"/>
    </w:r>
    <w:r w:rsidR="00CC49DC">
      <w:t>TLIX4036 Analyse, advise on and carry out integrated border clearance transactions</w:t>
    </w:r>
    <w:r w:rsidR="00CC49DC">
      <w:fldChar w:fldCharType="end"/>
    </w:r>
    <w:r>
      <w:tab/>
      <w:t xml:space="preserve">Date this document was generated: </w:t>
    </w:r>
    <w:r>
      <w:fldChar w:fldCharType="begin"/>
    </w:r>
    <w:r>
      <w:instrText xml:space="preserve"> CREATEDATE  \@ "d MMMM yyyy"  \* MERGEFORMAT </w:instrText>
    </w:r>
    <w:r>
      <w:fldChar w:fldCharType="separate"/>
    </w:r>
    <w:r w:rsidR="00CC49DC">
      <w:rPr>
        <w:noProof/>
      </w:rPr>
      <w:t>2 March 2025</w:t>
    </w:r>
    <w:r>
      <w:fldChar w:fldCharType="end"/>
    </w:r>
  </w:p>
  <w:p w:rsidR="004F7D9A" w:rsidP="004F7D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D8A9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AEA5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D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D9A"/>
    <w:pPr>
      <w:spacing w:before="360" w:after="60"/>
      <w:outlineLvl w:val="0"/>
    </w:pPr>
    <w:rPr>
      <w:sz w:val="32"/>
    </w:rPr>
  </w:style>
  <w:style w:type="paragraph" w:styleId="Heading2">
    <w:name w:val="heading 2"/>
    <w:basedOn w:val="HeadingBase"/>
    <w:next w:val="BodyText"/>
    <w:link w:val="Heading2Char"/>
    <w:qFormat/>
    <w:rsid w:val="004F7D9A"/>
    <w:pPr>
      <w:keepLines/>
      <w:spacing w:before="240" w:after="120"/>
      <w:outlineLvl w:val="1"/>
    </w:pPr>
    <w:rPr>
      <w:sz w:val="28"/>
      <w:szCs w:val="40"/>
    </w:rPr>
  </w:style>
  <w:style w:type="paragraph" w:styleId="Heading3">
    <w:name w:val="heading 3"/>
    <w:basedOn w:val="HeadingBase"/>
    <w:next w:val="BodyText"/>
    <w:link w:val="Heading3Char"/>
    <w:qFormat/>
    <w:rsid w:val="004F7D9A"/>
    <w:pPr>
      <w:spacing w:before="180" w:after="120"/>
      <w:outlineLvl w:val="2"/>
    </w:pPr>
    <w:rPr>
      <w:spacing w:val="-10"/>
      <w:kern w:val="32"/>
    </w:rPr>
  </w:style>
  <w:style w:type="paragraph" w:styleId="Heading4">
    <w:name w:val="heading 4"/>
    <w:basedOn w:val="HeadingBase"/>
    <w:next w:val="BodyText"/>
    <w:link w:val="Heading4Char"/>
    <w:qFormat/>
    <w:rsid w:val="004F7D9A"/>
    <w:pPr>
      <w:spacing w:before="160" w:after="120"/>
      <w:outlineLvl w:val="3"/>
    </w:pPr>
    <w:rPr>
      <w:sz w:val="22"/>
    </w:rPr>
  </w:style>
  <w:style w:type="paragraph" w:styleId="Heading5">
    <w:name w:val="heading 5"/>
    <w:basedOn w:val="HeadingBase"/>
    <w:next w:val="Normal"/>
    <w:link w:val="Heading5Char"/>
    <w:qFormat/>
    <w:rsid w:val="004F7D9A"/>
    <w:pPr>
      <w:spacing w:before="80"/>
      <w:outlineLvl w:val="4"/>
    </w:pPr>
    <w:rPr>
      <w:color w:val="918585"/>
      <w:sz w:val="20"/>
    </w:rPr>
  </w:style>
  <w:style w:type="paragraph" w:styleId="Heading6">
    <w:name w:val="heading 6"/>
    <w:basedOn w:val="HeadingBase"/>
    <w:next w:val="Normal"/>
    <w:link w:val="Heading6Char"/>
    <w:qFormat/>
    <w:rsid w:val="004F7D9A"/>
    <w:pPr>
      <w:spacing w:before="60"/>
      <w:outlineLvl w:val="5"/>
    </w:pPr>
    <w:rPr>
      <w:color w:val="918585"/>
      <w:sz w:val="20"/>
    </w:rPr>
  </w:style>
  <w:style w:type="paragraph" w:styleId="Heading7">
    <w:name w:val="heading 7"/>
    <w:basedOn w:val="Normal"/>
    <w:next w:val="Normal"/>
    <w:link w:val="Heading7Char"/>
    <w:qFormat/>
    <w:rsid w:val="004F7D9A"/>
    <w:pPr>
      <w:ind w:left="720"/>
      <w:outlineLvl w:val="6"/>
    </w:pPr>
    <w:rPr>
      <w:i/>
    </w:rPr>
  </w:style>
  <w:style w:type="paragraph" w:styleId="Heading8">
    <w:name w:val="heading 8"/>
    <w:basedOn w:val="Normal"/>
    <w:next w:val="Normal"/>
    <w:link w:val="Heading8Char"/>
    <w:qFormat/>
    <w:rsid w:val="004F7D9A"/>
    <w:pPr>
      <w:ind w:left="720"/>
      <w:outlineLvl w:val="7"/>
    </w:pPr>
    <w:rPr>
      <w:i/>
    </w:rPr>
  </w:style>
  <w:style w:type="paragraph" w:styleId="Heading9">
    <w:name w:val="heading 9"/>
    <w:basedOn w:val="Normal"/>
    <w:next w:val="Normal"/>
    <w:link w:val="Heading9Char"/>
    <w:qFormat/>
    <w:rsid w:val="004F7D9A"/>
    <w:pPr>
      <w:ind w:left="720"/>
      <w:outlineLvl w:val="8"/>
    </w:pPr>
    <w:rPr>
      <w:i/>
    </w:rPr>
  </w:style>
  <w:style w:type="character" w:default="1" w:styleId="DefaultParagraphFont">
    <w:name w:val="Default Paragraph Font"/>
    <w:uiPriority w:val="1"/>
    <w:unhideWhenUsed/>
    <w:rsid w:val="004F7D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D9A"/>
  </w:style>
  <w:style w:type="character" w:customStyle="1" w:styleId="Heading1Char">
    <w:name w:val="Heading 1 Char"/>
    <w:basedOn w:val="DefaultParagraphFont"/>
    <w:link w:val="Heading1"/>
    <w:rsid w:val="004F7D9A"/>
    <w:rPr>
      <w:rFonts w:ascii="Times New Roman" w:eastAsia="Times New Roman" w:hAnsi="Times New Roman" w:cs="Times New Roman"/>
      <w:b/>
      <w:sz w:val="32"/>
      <w:szCs w:val="20"/>
      <w:lang w:eastAsia="en-US"/>
    </w:rPr>
  </w:style>
  <w:style w:type="paragraph" w:styleId="BodyText">
    <w:name w:val="Body Text"/>
    <w:basedOn w:val="Normal"/>
    <w:link w:val="BodyTextChar"/>
    <w:rsid w:val="004F7D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D9A"/>
    <w:rPr>
      <w:rFonts w:ascii="Times New Roman" w:eastAsia="Times New Roman" w:hAnsi="Times New Roman" w:cs="Times New Roman"/>
      <w:sz w:val="24"/>
      <w:lang w:eastAsia="en-US"/>
    </w:rPr>
  </w:style>
  <w:style w:type="paragraph" w:styleId="ListBullet">
    <w:name w:val="List Bullet"/>
    <w:basedOn w:val="List"/>
    <w:rsid w:val="004F7D9A"/>
    <w:pPr>
      <w:numPr>
        <w:numId w:val="11"/>
      </w:numPr>
      <w:tabs>
        <w:tab w:val="clear" w:pos="340"/>
      </w:tabs>
      <w:spacing w:before="40" w:after="40"/>
    </w:pPr>
  </w:style>
  <w:style w:type="character" w:customStyle="1" w:styleId="SpecialBold">
    <w:name w:val="Special Bold"/>
    <w:basedOn w:val="DefaultParagraphFont"/>
    <w:rsid w:val="004F7D9A"/>
    <w:rPr>
      <w:b/>
      <w:spacing w:val="0"/>
    </w:rPr>
  </w:style>
  <w:style w:type="character" w:styleId="Emphasis">
    <w:name w:val="Emphasis"/>
    <w:basedOn w:val="DefaultParagraphFont"/>
    <w:qFormat/>
    <w:rsid w:val="004F7D9A"/>
    <w:rPr>
      <w:i/>
    </w:rPr>
  </w:style>
  <w:style w:type="paragraph" w:customStyle="1" w:styleId="SuperHeading">
    <w:name w:val="SuperHeading"/>
    <w:basedOn w:val="Normal"/>
    <w:rsid w:val="004F7D9A"/>
    <w:pPr>
      <w:spacing w:before="240" w:after="120"/>
      <w:outlineLvl w:val="0"/>
    </w:pPr>
    <w:rPr>
      <w:rFonts w:ascii="Times New Roman" w:hAnsi="Times New Roman"/>
      <w:b/>
      <w:sz w:val="32"/>
    </w:rPr>
  </w:style>
  <w:style w:type="paragraph" w:customStyle="1" w:styleId="AllowPageBreak">
    <w:name w:val="AllowPageBreak"/>
    <w:rsid w:val="004F7D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7D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D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D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D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D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D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D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D9A"/>
    <w:rPr>
      <w:rFonts w:ascii="Courier New" w:eastAsia="Times New Roman" w:hAnsi="Courier New" w:cs="Times New Roman"/>
      <w:i/>
      <w:szCs w:val="20"/>
      <w:lang w:eastAsia="en-US"/>
    </w:rPr>
  </w:style>
  <w:style w:type="paragraph" w:customStyle="1" w:styleId="HeadingBase">
    <w:name w:val="Heading Base"/>
    <w:rsid w:val="004F7D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D9A"/>
    <w:pPr>
      <w:tabs>
        <w:tab w:val="right" w:leader="dot" w:pos="9072"/>
      </w:tabs>
      <w:ind w:left="567"/>
    </w:pPr>
    <w:rPr>
      <w:szCs w:val="22"/>
    </w:rPr>
  </w:style>
  <w:style w:type="paragraph" w:customStyle="1" w:styleId="TOCBase">
    <w:name w:val="TOC Base"/>
    <w:rsid w:val="004F7D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D9A"/>
    <w:pPr>
      <w:tabs>
        <w:tab w:val="right" w:leader="dot" w:pos="9072"/>
      </w:tabs>
      <w:spacing w:before="40" w:after="40"/>
      <w:ind w:left="284"/>
    </w:pPr>
    <w:rPr>
      <w:rFonts w:ascii="Times New Roman" w:hAnsi="Times New Roman"/>
    </w:rPr>
  </w:style>
  <w:style w:type="paragraph" w:styleId="TOC1">
    <w:name w:val="toc 1"/>
    <w:basedOn w:val="TOCBase"/>
    <w:next w:val="Normal"/>
    <w:rsid w:val="004F7D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D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D9A"/>
    <w:rPr>
      <w:rFonts w:ascii="Times New Roman" w:eastAsia="Times New Roman" w:hAnsi="Times New Roman" w:cs="Times New Roman"/>
      <w:sz w:val="16"/>
      <w:lang w:eastAsia="en-US"/>
    </w:rPr>
  </w:style>
  <w:style w:type="paragraph" w:styleId="Title">
    <w:name w:val="Title"/>
    <w:basedOn w:val="HeadingBase"/>
    <w:link w:val="TitleChar"/>
    <w:qFormat/>
    <w:rsid w:val="004F7D9A"/>
    <w:pPr>
      <w:spacing w:before="5040"/>
      <w:jc w:val="center"/>
    </w:pPr>
    <w:rPr>
      <w:sz w:val="48"/>
      <w:szCs w:val="72"/>
      <w:lang w:val="en-US"/>
    </w:rPr>
  </w:style>
  <w:style w:type="character" w:customStyle="1" w:styleId="TitleChar">
    <w:name w:val="Title Char"/>
    <w:basedOn w:val="DefaultParagraphFont"/>
    <w:link w:val="Title"/>
    <w:rsid w:val="004F7D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D9A"/>
    <w:pPr>
      <w:tabs>
        <w:tab w:val="left" w:pos="3600"/>
        <w:tab w:val="left" w:pos="3958"/>
      </w:tabs>
    </w:pPr>
  </w:style>
  <w:style w:type="paragraph" w:styleId="List">
    <w:name w:val="List"/>
    <w:basedOn w:val="BodyText"/>
    <w:next w:val="BodyText"/>
    <w:rsid w:val="004F7D9A"/>
    <w:pPr>
      <w:tabs>
        <w:tab w:val="left" w:pos="340"/>
      </w:tabs>
      <w:spacing w:before="60" w:after="60"/>
      <w:ind w:left="340" w:hanging="340"/>
    </w:pPr>
  </w:style>
  <w:style w:type="paragraph" w:customStyle="1" w:styleId="Note">
    <w:name w:val="Note"/>
    <w:basedOn w:val="BodyText"/>
    <w:rsid w:val="004F7D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D9A"/>
    <w:pPr>
      <w:framePr w:wrap="auto" w:hAnchor="text" w:y="6049"/>
    </w:pPr>
    <w:rPr>
      <w:color w:val="000000"/>
      <w:sz w:val="40"/>
    </w:rPr>
  </w:style>
  <w:style w:type="paragraph" w:customStyle="1" w:styleId="TOCTitle">
    <w:name w:val="TOCTitle"/>
    <w:basedOn w:val="Heading1"/>
    <w:rsid w:val="004F7D9A"/>
    <w:pPr>
      <w:spacing w:after="240"/>
      <w:jc w:val="center"/>
      <w:outlineLvl w:val="9"/>
    </w:pPr>
    <w:rPr>
      <w:caps/>
    </w:rPr>
  </w:style>
  <w:style w:type="paragraph" w:customStyle="1" w:styleId="Version">
    <w:name w:val="Version"/>
    <w:rsid w:val="004F7D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D9A"/>
    <w:pPr>
      <w:numPr>
        <w:numId w:val="12"/>
      </w:numPr>
      <w:tabs>
        <w:tab w:val="clear" w:pos="680"/>
      </w:tabs>
    </w:pPr>
  </w:style>
  <w:style w:type="paragraph" w:styleId="Index1">
    <w:name w:val="index 1"/>
    <w:basedOn w:val="Normal"/>
    <w:next w:val="Normal"/>
    <w:semiHidden/>
    <w:rsid w:val="004F7D9A"/>
    <w:pPr>
      <w:keepNext w:val="0"/>
      <w:tabs>
        <w:tab w:val="right" w:pos="4176"/>
      </w:tabs>
      <w:ind w:left="198" w:hanging="198"/>
    </w:pPr>
    <w:rPr>
      <w:rFonts w:ascii="Garamond" w:hAnsi="Garamond"/>
    </w:rPr>
  </w:style>
  <w:style w:type="paragraph" w:styleId="IndexHeading">
    <w:name w:val="index heading"/>
    <w:basedOn w:val="Normal"/>
    <w:next w:val="Index1"/>
    <w:semiHidden/>
    <w:rsid w:val="004F7D9A"/>
    <w:pPr>
      <w:spacing w:before="120" w:after="120"/>
    </w:pPr>
    <w:rPr>
      <w:rFonts w:ascii="Arial" w:hAnsi="Arial"/>
      <w:b/>
      <w:color w:val="918585"/>
      <w:sz w:val="24"/>
    </w:rPr>
  </w:style>
  <w:style w:type="paragraph" w:styleId="Header">
    <w:name w:val="header"/>
    <w:basedOn w:val="Normal"/>
    <w:link w:val="HeaderChar"/>
    <w:rsid w:val="004F7D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D9A"/>
    <w:rPr>
      <w:rFonts w:ascii="Times New Roman" w:eastAsia="Times New Roman" w:hAnsi="Times New Roman" w:cs="Times New Roman"/>
      <w:sz w:val="16"/>
      <w:szCs w:val="20"/>
      <w:lang w:val="en-GB" w:eastAsia="en-US"/>
    </w:rPr>
  </w:style>
  <w:style w:type="paragraph" w:customStyle="1" w:styleId="Chapter">
    <w:name w:val="Chapter"/>
    <w:basedOn w:val="Normal"/>
    <w:rsid w:val="004F7D9A"/>
    <w:pPr>
      <w:spacing w:before="240"/>
    </w:pPr>
    <w:rPr>
      <w:rFonts w:ascii="Times New Roman" w:hAnsi="Times New Roman"/>
      <w:smallCaps/>
      <w:spacing w:val="80"/>
      <w:sz w:val="28"/>
    </w:rPr>
  </w:style>
  <w:style w:type="paragraph" w:customStyle="1" w:styleId="InChapter">
    <w:name w:val="InChapter"/>
    <w:basedOn w:val="Heading3"/>
    <w:rsid w:val="004F7D9A"/>
    <w:pPr>
      <w:spacing w:after="240"/>
      <w:outlineLvl w:val="9"/>
    </w:pPr>
    <w:rPr>
      <w:noProof/>
    </w:rPr>
  </w:style>
  <w:style w:type="paragraph" w:styleId="Index2">
    <w:name w:val="index 2"/>
    <w:basedOn w:val="Normal"/>
    <w:next w:val="Normal"/>
    <w:semiHidden/>
    <w:rsid w:val="004F7D9A"/>
    <w:pPr>
      <w:tabs>
        <w:tab w:val="right" w:pos="4176"/>
      </w:tabs>
      <w:ind w:left="568" w:hanging="284"/>
    </w:pPr>
    <w:rPr>
      <w:rFonts w:ascii="Garamond" w:hAnsi="Garamond"/>
    </w:rPr>
  </w:style>
  <w:style w:type="paragraph" w:customStyle="1" w:styleId="Byline">
    <w:name w:val="Byline"/>
    <w:rsid w:val="004F7D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D9A"/>
    <w:pPr>
      <w:tabs>
        <w:tab w:val="clear" w:pos="3600"/>
        <w:tab w:val="clear" w:pos="3958"/>
      </w:tabs>
      <w:jc w:val="right"/>
    </w:pPr>
  </w:style>
  <w:style w:type="paragraph" w:styleId="Caption">
    <w:name w:val="caption"/>
    <w:basedOn w:val="BodyText"/>
    <w:next w:val="Normal"/>
    <w:qFormat/>
    <w:rsid w:val="004F7D9A"/>
    <w:pPr>
      <w:framePr w:w="2268" w:hSpace="181" w:vSpace="181" w:wrap="around" w:vAnchor="text" w:hAnchor="page" w:x="1135" w:y="285" w:anchorLock="1"/>
    </w:pPr>
    <w:rPr>
      <w:i/>
    </w:rPr>
  </w:style>
  <w:style w:type="paragraph" w:customStyle="1" w:styleId="MiniTOCTitle">
    <w:name w:val="MiniTOCTitle"/>
    <w:basedOn w:val="Heading4"/>
    <w:rsid w:val="004F7D9A"/>
    <w:pPr>
      <w:spacing w:before="240"/>
      <w:outlineLvl w:val="9"/>
    </w:pPr>
    <w:rPr>
      <w:noProof/>
      <w:sz w:val="24"/>
    </w:rPr>
  </w:style>
  <w:style w:type="paragraph" w:customStyle="1" w:styleId="MiniTOCItem">
    <w:name w:val="MiniTOCItem"/>
    <w:basedOn w:val="ListBullet"/>
    <w:rsid w:val="004F7D9A"/>
    <w:pPr>
      <w:numPr>
        <w:numId w:val="0"/>
      </w:numPr>
      <w:tabs>
        <w:tab w:val="right" w:leader="dot" w:pos="6521"/>
      </w:tabs>
      <w:spacing w:before="0" w:after="0"/>
    </w:pPr>
  </w:style>
  <w:style w:type="paragraph" w:customStyle="1" w:styleId="TOFTitle">
    <w:name w:val="TOFTitle"/>
    <w:basedOn w:val="TOCTitle"/>
    <w:rsid w:val="004F7D9A"/>
  </w:style>
  <w:style w:type="paragraph" w:styleId="TableofFigures">
    <w:name w:val="table of figures"/>
    <w:basedOn w:val="Normal"/>
    <w:next w:val="Normal"/>
    <w:semiHidden/>
    <w:rsid w:val="004F7D9A"/>
    <w:pPr>
      <w:tabs>
        <w:tab w:val="right" w:leader="dot" w:pos="9072"/>
      </w:tabs>
      <w:ind w:left="970" w:hanging="403"/>
    </w:pPr>
    <w:rPr>
      <w:rFonts w:ascii="Times New Roman" w:hAnsi="Times New Roman"/>
      <w:b/>
    </w:rPr>
  </w:style>
  <w:style w:type="paragraph" w:styleId="ListNumber">
    <w:name w:val="List Number"/>
    <w:basedOn w:val="List"/>
    <w:rsid w:val="004F7D9A"/>
    <w:pPr>
      <w:numPr>
        <w:numId w:val="14"/>
      </w:numPr>
      <w:tabs>
        <w:tab w:val="clear" w:pos="340"/>
      </w:tabs>
    </w:pPr>
  </w:style>
  <w:style w:type="character" w:customStyle="1" w:styleId="WingdingSymbols">
    <w:name w:val="Wingding Symbols"/>
    <w:rsid w:val="004F7D9A"/>
    <w:rPr>
      <w:rFonts w:ascii="Wingdings" w:hAnsi="Wingdings"/>
    </w:rPr>
  </w:style>
  <w:style w:type="paragraph" w:customStyle="1" w:styleId="TableHeading">
    <w:name w:val="Table Heading"/>
    <w:basedOn w:val="HeadingBase"/>
    <w:rsid w:val="004F7D9A"/>
    <w:pPr>
      <w:keepLines/>
      <w:pBdr>
        <w:bottom w:val="single" w:sz="6" w:space="1" w:color="918585"/>
      </w:pBdr>
      <w:spacing w:before="240"/>
    </w:pPr>
  </w:style>
  <w:style w:type="character" w:customStyle="1" w:styleId="HotSpot">
    <w:name w:val="HotSpot"/>
    <w:rsid w:val="004F7D9A"/>
    <w:rPr>
      <w:color w:val="0033CC"/>
      <w:u w:val="none"/>
    </w:rPr>
  </w:style>
  <w:style w:type="paragraph" w:customStyle="1" w:styleId="BodyTextRight">
    <w:name w:val="Body Text Right"/>
    <w:basedOn w:val="BodyText"/>
    <w:rsid w:val="004F7D9A"/>
    <w:pPr>
      <w:spacing w:before="0" w:after="0"/>
      <w:jc w:val="right"/>
    </w:pPr>
  </w:style>
  <w:style w:type="paragraph" w:styleId="Index3">
    <w:name w:val="index 3"/>
    <w:basedOn w:val="ListNumber2"/>
    <w:next w:val="Normal"/>
    <w:semiHidden/>
    <w:rsid w:val="004F7D9A"/>
    <w:pPr>
      <w:numPr>
        <w:numId w:val="0"/>
      </w:numPr>
      <w:tabs>
        <w:tab w:val="right" w:leader="dot" w:pos="4176"/>
      </w:tabs>
    </w:pPr>
  </w:style>
  <w:style w:type="paragraph" w:styleId="ListNumber2">
    <w:name w:val="List Number 2"/>
    <w:basedOn w:val="List2"/>
    <w:rsid w:val="004F7D9A"/>
    <w:pPr>
      <w:numPr>
        <w:numId w:val="9"/>
      </w:numPr>
      <w:tabs>
        <w:tab w:val="clear" w:pos="1060"/>
      </w:tabs>
    </w:pPr>
  </w:style>
  <w:style w:type="paragraph" w:customStyle="1" w:styleId="MarginNote">
    <w:name w:val="Margin Note"/>
    <w:basedOn w:val="BodyText"/>
    <w:rsid w:val="004F7D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D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D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D9A"/>
    <w:rPr>
      <w:sz w:val="32"/>
    </w:rPr>
  </w:style>
  <w:style w:type="paragraph" w:customStyle="1" w:styleId="HeadingProcedure">
    <w:name w:val="Heading Procedure"/>
    <w:basedOn w:val="HeadingBase"/>
    <w:next w:val="Normal"/>
    <w:rsid w:val="004F7D9A"/>
    <w:pPr>
      <w:tabs>
        <w:tab w:val="left" w:pos="0"/>
      </w:tabs>
      <w:spacing w:before="120" w:after="60"/>
    </w:pPr>
    <w:rPr>
      <w:i/>
      <w:color w:val="918585"/>
      <w:sz w:val="22"/>
    </w:rPr>
  </w:style>
  <w:style w:type="paragraph" w:customStyle="1" w:styleId="TableBodyText">
    <w:name w:val="Table Body Text"/>
    <w:basedOn w:val="BodyText"/>
    <w:rsid w:val="004F7D9A"/>
    <w:pPr>
      <w:spacing w:before="60" w:after="60"/>
    </w:pPr>
  </w:style>
  <w:style w:type="paragraph" w:styleId="ListContinue">
    <w:name w:val="List Continue"/>
    <w:basedOn w:val="List"/>
    <w:rsid w:val="004F7D9A"/>
    <w:pPr>
      <w:ind w:firstLine="0"/>
    </w:pPr>
  </w:style>
  <w:style w:type="paragraph" w:customStyle="1" w:styleId="ListNote">
    <w:name w:val="List Note"/>
    <w:basedOn w:val="List"/>
    <w:rsid w:val="004F7D9A"/>
    <w:pPr>
      <w:pBdr>
        <w:top w:val="single" w:sz="6" w:space="2" w:color="918585"/>
        <w:bottom w:val="single" w:sz="6" w:space="2" w:color="918585"/>
      </w:pBdr>
      <w:tabs>
        <w:tab w:val="left" w:pos="1021"/>
      </w:tabs>
      <w:ind w:firstLine="0"/>
    </w:pPr>
  </w:style>
  <w:style w:type="paragraph" w:customStyle="1" w:styleId="Warning">
    <w:name w:val="Warning"/>
    <w:basedOn w:val="BodyText"/>
    <w:rsid w:val="004F7D9A"/>
    <w:pPr>
      <w:shd w:val="clear" w:color="auto" w:fill="D9D9D9"/>
      <w:tabs>
        <w:tab w:val="left" w:pos="992"/>
      </w:tabs>
      <w:ind w:left="119" w:right="119"/>
    </w:pPr>
    <w:rPr>
      <w:sz w:val="20"/>
    </w:rPr>
  </w:style>
  <w:style w:type="paragraph" w:customStyle="1" w:styleId="MarginIcons">
    <w:name w:val="Margin Icons"/>
    <w:basedOn w:val="BodyText"/>
    <w:rsid w:val="004F7D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D9A"/>
    <w:rPr>
      <w:rFonts w:ascii="Courier New" w:hAnsi="Courier New"/>
    </w:rPr>
  </w:style>
  <w:style w:type="paragraph" w:customStyle="1" w:styleId="NoteBullet">
    <w:name w:val="Note Bullet"/>
    <w:basedOn w:val="Note"/>
    <w:rsid w:val="004F7D9A"/>
    <w:pPr>
      <w:tabs>
        <w:tab w:val="clear" w:pos="680"/>
      </w:tabs>
      <w:spacing w:before="60" w:after="60"/>
    </w:pPr>
  </w:style>
  <w:style w:type="paragraph" w:customStyle="1" w:styleId="SubHeading2">
    <w:name w:val="SubHeading2"/>
    <w:basedOn w:val="HeadingBase"/>
    <w:rsid w:val="004F7D9A"/>
    <w:pPr>
      <w:spacing w:before="240" w:after="60"/>
    </w:pPr>
    <w:rPr>
      <w:sz w:val="20"/>
    </w:rPr>
  </w:style>
  <w:style w:type="paragraph" w:customStyle="1" w:styleId="SubHeading1">
    <w:name w:val="SubHeading1"/>
    <w:basedOn w:val="HeadingBase"/>
    <w:rsid w:val="004F7D9A"/>
    <w:pPr>
      <w:spacing w:before="240" w:after="60"/>
    </w:pPr>
    <w:rPr>
      <w:color w:val="918585"/>
      <w:sz w:val="22"/>
    </w:rPr>
  </w:style>
  <w:style w:type="paragraph" w:customStyle="1" w:styleId="SideHeading">
    <w:name w:val="Side Heading"/>
    <w:basedOn w:val="HeadingBase"/>
    <w:rsid w:val="004F7D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D9A"/>
    <w:pPr>
      <w:numPr>
        <w:numId w:val="10"/>
      </w:numPr>
    </w:pPr>
  </w:style>
  <w:style w:type="paragraph" w:styleId="PlainText">
    <w:name w:val="Plain Text"/>
    <w:basedOn w:val="Normal"/>
    <w:link w:val="PlainTextChar"/>
    <w:rsid w:val="004F7D9A"/>
    <w:rPr>
      <w:sz w:val="20"/>
    </w:rPr>
  </w:style>
  <w:style w:type="character" w:customStyle="1" w:styleId="PlainTextChar">
    <w:name w:val="Plain Text Char"/>
    <w:basedOn w:val="DefaultParagraphFont"/>
    <w:link w:val="PlainText"/>
    <w:rsid w:val="004F7D9A"/>
    <w:rPr>
      <w:rFonts w:ascii="Courier New" w:eastAsia="Times New Roman" w:hAnsi="Courier New" w:cs="Times New Roman"/>
      <w:sz w:val="20"/>
      <w:szCs w:val="20"/>
      <w:lang w:eastAsia="en-US"/>
    </w:rPr>
  </w:style>
  <w:style w:type="character" w:customStyle="1" w:styleId="MenuOption">
    <w:name w:val="Menu Option"/>
    <w:basedOn w:val="DefaultParagraphFont"/>
    <w:rsid w:val="004F7D9A"/>
    <w:rPr>
      <w:b/>
      <w:smallCaps/>
    </w:rPr>
  </w:style>
  <w:style w:type="paragraph" w:customStyle="1" w:styleId="TableListNumber">
    <w:name w:val="Table List Number"/>
    <w:basedOn w:val="ListNumber"/>
    <w:rsid w:val="004F7D9A"/>
    <w:pPr>
      <w:numPr>
        <w:numId w:val="0"/>
      </w:numPr>
    </w:pPr>
  </w:style>
  <w:style w:type="paragraph" w:styleId="TOC4">
    <w:name w:val="toc 4"/>
    <w:basedOn w:val="TOCBase"/>
    <w:next w:val="Normal"/>
    <w:semiHidden/>
    <w:rsid w:val="004F7D9A"/>
    <w:pPr>
      <w:tabs>
        <w:tab w:val="right" w:leader="dot" w:pos="9071"/>
      </w:tabs>
      <w:ind w:left="1701"/>
    </w:pPr>
  </w:style>
  <w:style w:type="paragraph" w:customStyle="1" w:styleId="ListAlpha">
    <w:name w:val="List Alpha"/>
    <w:basedOn w:val="List"/>
    <w:rsid w:val="004F7D9A"/>
    <w:pPr>
      <w:numPr>
        <w:numId w:val="8"/>
      </w:numPr>
    </w:pPr>
  </w:style>
  <w:style w:type="paragraph" w:customStyle="1" w:styleId="ListAlpha2">
    <w:name w:val="List Alpha 2"/>
    <w:basedOn w:val="List2"/>
    <w:rsid w:val="004F7D9A"/>
    <w:pPr>
      <w:numPr>
        <w:numId w:val="7"/>
      </w:numPr>
    </w:pPr>
  </w:style>
  <w:style w:type="paragraph" w:styleId="List2">
    <w:name w:val="List 2"/>
    <w:basedOn w:val="BodyText"/>
    <w:rsid w:val="004F7D9A"/>
    <w:pPr>
      <w:tabs>
        <w:tab w:val="left" w:pos="680"/>
      </w:tabs>
      <w:spacing w:before="60" w:after="60"/>
      <w:ind w:left="680" w:hanging="340"/>
    </w:pPr>
  </w:style>
  <w:style w:type="paragraph" w:styleId="List3">
    <w:name w:val="List 3"/>
    <w:basedOn w:val="BodyText"/>
    <w:rsid w:val="004F7D9A"/>
    <w:pPr>
      <w:tabs>
        <w:tab w:val="left" w:pos="1021"/>
      </w:tabs>
      <w:spacing w:before="60" w:after="60"/>
      <w:ind w:left="1020" w:hanging="340"/>
    </w:pPr>
  </w:style>
  <w:style w:type="paragraph" w:styleId="List4">
    <w:name w:val="List 4"/>
    <w:basedOn w:val="BodyText"/>
    <w:rsid w:val="004F7D9A"/>
    <w:pPr>
      <w:tabs>
        <w:tab w:val="left" w:pos="1361"/>
      </w:tabs>
      <w:spacing w:before="60" w:after="60"/>
      <w:ind w:left="1361" w:hanging="340"/>
    </w:pPr>
  </w:style>
  <w:style w:type="paragraph" w:styleId="List5">
    <w:name w:val="List 5"/>
    <w:basedOn w:val="BodyText"/>
    <w:rsid w:val="004F7D9A"/>
    <w:pPr>
      <w:tabs>
        <w:tab w:val="left" w:pos="1701"/>
      </w:tabs>
      <w:spacing w:before="60" w:after="60"/>
      <w:ind w:left="1701" w:hanging="340"/>
    </w:pPr>
  </w:style>
  <w:style w:type="paragraph" w:styleId="ListBullet3">
    <w:name w:val="List Bullet 3"/>
    <w:basedOn w:val="List3"/>
    <w:rsid w:val="004F7D9A"/>
    <w:pPr>
      <w:numPr>
        <w:numId w:val="13"/>
      </w:numPr>
      <w:tabs>
        <w:tab w:val="clear" w:pos="1021"/>
      </w:tabs>
      <w:ind w:left="1037" w:hanging="357"/>
    </w:pPr>
  </w:style>
  <w:style w:type="paragraph" w:styleId="ListBullet4">
    <w:name w:val="List Bullet 4"/>
    <w:basedOn w:val="List4"/>
    <w:rsid w:val="004F7D9A"/>
    <w:pPr>
      <w:numPr>
        <w:numId w:val="2"/>
      </w:numPr>
      <w:tabs>
        <w:tab w:val="clear" w:pos="1361"/>
      </w:tabs>
    </w:pPr>
  </w:style>
  <w:style w:type="paragraph" w:styleId="ListBullet5">
    <w:name w:val="List Bullet 5"/>
    <w:basedOn w:val="List5"/>
    <w:rsid w:val="004F7D9A"/>
    <w:pPr>
      <w:numPr>
        <w:numId w:val="3"/>
      </w:numPr>
    </w:pPr>
  </w:style>
  <w:style w:type="paragraph" w:styleId="ListContinue2">
    <w:name w:val="List Continue 2"/>
    <w:basedOn w:val="List2"/>
    <w:rsid w:val="004F7D9A"/>
    <w:pPr>
      <w:ind w:firstLine="0"/>
    </w:pPr>
  </w:style>
  <w:style w:type="paragraph" w:styleId="ListContinue3">
    <w:name w:val="List Continue 3"/>
    <w:basedOn w:val="List3"/>
    <w:rsid w:val="004F7D9A"/>
    <w:pPr>
      <w:ind w:left="1021" w:firstLine="0"/>
    </w:pPr>
  </w:style>
  <w:style w:type="paragraph" w:styleId="ListContinue4">
    <w:name w:val="List Continue 4"/>
    <w:basedOn w:val="List4"/>
    <w:rsid w:val="004F7D9A"/>
    <w:pPr>
      <w:ind w:firstLine="0"/>
    </w:pPr>
  </w:style>
  <w:style w:type="paragraph" w:styleId="ListContinue5">
    <w:name w:val="List Continue 5"/>
    <w:basedOn w:val="List5"/>
    <w:rsid w:val="004F7D9A"/>
    <w:pPr>
      <w:ind w:firstLine="0"/>
    </w:pPr>
  </w:style>
  <w:style w:type="paragraph" w:styleId="ListNumber3">
    <w:name w:val="List Number 3"/>
    <w:basedOn w:val="List3"/>
    <w:rsid w:val="004F7D9A"/>
    <w:pPr>
      <w:numPr>
        <w:numId w:val="4"/>
      </w:numPr>
    </w:pPr>
  </w:style>
  <w:style w:type="paragraph" w:styleId="ListNumber4">
    <w:name w:val="List Number 4"/>
    <w:basedOn w:val="List4"/>
    <w:rsid w:val="004F7D9A"/>
    <w:pPr>
      <w:numPr>
        <w:numId w:val="5"/>
      </w:numPr>
    </w:pPr>
  </w:style>
  <w:style w:type="paragraph" w:styleId="ListNumber5">
    <w:name w:val="List Number 5"/>
    <w:basedOn w:val="List5"/>
    <w:rsid w:val="004F7D9A"/>
    <w:pPr>
      <w:numPr>
        <w:numId w:val="6"/>
      </w:numPr>
    </w:pPr>
  </w:style>
  <w:style w:type="paragraph" w:styleId="BlockText">
    <w:name w:val="Block Text"/>
    <w:basedOn w:val="Normal"/>
    <w:rsid w:val="004F7D9A"/>
    <w:pPr>
      <w:spacing w:after="120"/>
      <w:ind w:left="1440" w:right="1440"/>
    </w:pPr>
  </w:style>
  <w:style w:type="character" w:customStyle="1" w:styleId="Subscript">
    <w:name w:val="Subscript"/>
    <w:basedOn w:val="DefaultParagraphFont"/>
    <w:rsid w:val="004F7D9A"/>
    <w:rPr>
      <w:sz w:val="16"/>
      <w:vertAlign w:val="subscript"/>
    </w:rPr>
  </w:style>
  <w:style w:type="character" w:customStyle="1" w:styleId="Superscript">
    <w:name w:val="Superscript"/>
    <w:basedOn w:val="DefaultParagraphFont"/>
    <w:rsid w:val="004F7D9A"/>
    <w:rPr>
      <w:sz w:val="16"/>
      <w:vertAlign w:val="superscript"/>
    </w:rPr>
  </w:style>
  <w:style w:type="character" w:customStyle="1" w:styleId="Symbols">
    <w:name w:val="Symbols"/>
    <w:basedOn w:val="DefaultParagraphFont"/>
    <w:rsid w:val="004F7D9A"/>
    <w:rPr>
      <w:rFonts w:ascii="Symbol" w:hAnsi="Symbol"/>
    </w:rPr>
  </w:style>
  <w:style w:type="character" w:customStyle="1" w:styleId="MenuOptions">
    <w:name w:val="Menu Options"/>
    <w:basedOn w:val="DefaultParagraphFont"/>
    <w:rsid w:val="004F7D9A"/>
    <w:rPr>
      <w:rFonts w:ascii="Arial Narrow" w:hAnsi="Arial Narrow"/>
      <w:smallCaps/>
    </w:rPr>
  </w:style>
  <w:style w:type="character" w:customStyle="1" w:styleId="Buttons">
    <w:name w:val="Buttons"/>
    <w:basedOn w:val="DefaultParagraphFont"/>
    <w:rsid w:val="004F7D9A"/>
    <w:rPr>
      <w:b/>
    </w:rPr>
  </w:style>
  <w:style w:type="character" w:customStyle="1" w:styleId="Underlined">
    <w:name w:val="Underlined"/>
    <w:basedOn w:val="DefaultParagraphFont"/>
    <w:rsid w:val="004F7D9A"/>
    <w:rPr>
      <w:u w:val="single"/>
    </w:rPr>
  </w:style>
  <w:style w:type="paragraph" w:customStyle="1" w:styleId="TableBodyTextRight">
    <w:name w:val="Table Body Text Right"/>
    <w:basedOn w:val="TableBodyText"/>
    <w:rsid w:val="004F7D9A"/>
    <w:pPr>
      <w:widowControl w:val="0"/>
      <w:autoSpaceDE w:val="0"/>
      <w:autoSpaceDN w:val="0"/>
      <w:adjustRightInd w:val="0"/>
      <w:jc w:val="right"/>
    </w:pPr>
    <w:rPr>
      <w:rFonts w:cs="Arial"/>
      <w:szCs w:val="18"/>
    </w:rPr>
  </w:style>
  <w:style w:type="paragraph" w:customStyle="1" w:styleId="CopyrightText">
    <w:name w:val="Copyright Text"/>
    <w:basedOn w:val="BodyText"/>
    <w:rsid w:val="004F7D9A"/>
    <w:rPr>
      <w:sz w:val="18"/>
    </w:rPr>
  </w:style>
  <w:style w:type="paragraph" w:customStyle="1" w:styleId="BodySmallRight">
    <w:name w:val="Body Small Right"/>
    <w:basedOn w:val="BodyTextRight"/>
    <w:rsid w:val="004F7D9A"/>
    <w:rPr>
      <w:sz w:val="18"/>
      <w:szCs w:val="18"/>
    </w:rPr>
  </w:style>
  <w:style w:type="paragraph" w:customStyle="1" w:styleId="MarginEdition">
    <w:name w:val="Margin Edition"/>
    <w:basedOn w:val="MarginNote"/>
    <w:rsid w:val="004F7D9A"/>
    <w:pPr>
      <w:spacing w:before="0" w:after="0"/>
    </w:pPr>
    <w:rPr>
      <w:rFonts w:ascii="Times New Roman" w:hAnsi="Times New Roman"/>
      <w:color w:val="999999"/>
    </w:rPr>
  </w:style>
  <w:style w:type="paragraph" w:customStyle="1" w:styleId="Spacer">
    <w:name w:val="Spacer"/>
    <w:basedOn w:val="Normal"/>
    <w:rsid w:val="004F7D9A"/>
    <w:rPr>
      <w:sz w:val="2"/>
      <w:szCs w:val="2"/>
    </w:rPr>
  </w:style>
  <w:style w:type="character" w:customStyle="1" w:styleId="Small">
    <w:name w:val="Small"/>
    <w:basedOn w:val="DefaultParagraphFont"/>
    <w:rsid w:val="004F7D9A"/>
    <w:rPr>
      <w:sz w:val="16"/>
    </w:rPr>
  </w:style>
  <w:style w:type="paragraph" w:customStyle="1" w:styleId="WideTable">
    <w:name w:val="Wide Table"/>
    <w:basedOn w:val="Normal"/>
    <w:rsid w:val="004F7D9A"/>
    <w:pPr>
      <w:ind w:left="-1418"/>
    </w:pPr>
    <w:rPr>
      <w:sz w:val="2"/>
      <w:szCs w:val="2"/>
    </w:rPr>
  </w:style>
  <w:style w:type="character" w:styleId="PageNumber">
    <w:name w:val="page number"/>
    <w:basedOn w:val="DefaultParagraphFont"/>
    <w:rsid w:val="004F7D9A"/>
  </w:style>
  <w:style w:type="paragraph" w:styleId="Quote">
    <w:name w:val="Quote"/>
    <w:basedOn w:val="Heading1"/>
    <w:link w:val="QuoteChar"/>
    <w:qFormat/>
    <w:rsid w:val="004F7D9A"/>
    <w:rPr>
      <w:b w:val="0"/>
      <w:sz w:val="72"/>
      <w:szCs w:val="72"/>
      <w:lang w:val="en-NZ"/>
    </w:rPr>
  </w:style>
  <w:style w:type="character" w:customStyle="1" w:styleId="QuoteChar">
    <w:name w:val="Quote Char"/>
    <w:basedOn w:val="DefaultParagraphFont"/>
    <w:link w:val="Quote"/>
    <w:rsid w:val="004F7D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D9A"/>
    <w:pPr>
      <w:pageBreakBefore/>
    </w:pPr>
  </w:style>
  <w:style w:type="paragraph" w:customStyle="1" w:styleId="Border">
    <w:name w:val="Border"/>
    <w:basedOn w:val="Normal"/>
    <w:qFormat/>
    <w:rsid w:val="004F7D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D9A"/>
    <w:rPr>
      <w:b/>
      <w:bCs/>
      <w:i/>
      <w:iCs/>
      <w:color w:val="auto"/>
    </w:rPr>
  </w:style>
  <w:style w:type="paragraph" w:styleId="IntenseQuote">
    <w:name w:val="Intense Quote"/>
    <w:basedOn w:val="Normal"/>
    <w:next w:val="Normal"/>
    <w:link w:val="IntenseQuoteChar"/>
    <w:uiPriority w:val="30"/>
    <w:qFormat/>
    <w:rsid w:val="004F7D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D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D9A"/>
    <w:rPr>
      <w:smallCaps/>
      <w:color w:val="auto"/>
      <w:u w:val="single"/>
    </w:rPr>
  </w:style>
  <w:style w:type="character" w:styleId="IntenseReference">
    <w:name w:val="Intense Reference"/>
    <w:basedOn w:val="DefaultParagraphFont"/>
    <w:uiPriority w:val="32"/>
    <w:qFormat/>
    <w:rsid w:val="004F7D9A"/>
    <w:rPr>
      <w:b/>
      <w:bCs/>
      <w:smallCaps/>
      <w:color w:val="auto"/>
      <w:spacing w:val="5"/>
      <w:u w:val="single"/>
    </w:rPr>
  </w:style>
  <w:style w:type="paragraph" w:customStyle="1" w:styleId="2ColumnHeading">
    <w:name w:val="2Column Heading"/>
    <w:basedOn w:val="BodyText"/>
    <w:qFormat/>
    <w:rsid w:val="004F7D9A"/>
    <w:pPr>
      <w:spacing w:after="60"/>
      <w:ind w:left="-2268"/>
    </w:pPr>
    <w:rPr>
      <w:b/>
    </w:rPr>
  </w:style>
  <w:style w:type="paragraph" w:customStyle="1" w:styleId="Heading1TOC">
    <w:name w:val="Heading1 TOC"/>
    <w:basedOn w:val="Normal"/>
    <w:qFormat/>
    <w:rsid w:val="004F7D9A"/>
    <w:pPr>
      <w:spacing w:before="240" w:after="120"/>
    </w:pPr>
    <w:rPr>
      <w:rFonts w:ascii="Times New Roman" w:hAnsi="Times New Roman"/>
      <w:b/>
      <w:sz w:val="32"/>
    </w:rPr>
  </w:style>
  <w:style w:type="paragraph" w:customStyle="1" w:styleId="Heading2TOC">
    <w:name w:val="Heading2 TOC"/>
    <w:basedOn w:val="Normal"/>
    <w:qFormat/>
    <w:rsid w:val="004F7D9A"/>
    <w:pPr>
      <w:spacing w:before="240" w:after="60"/>
    </w:pPr>
    <w:rPr>
      <w:rFonts w:ascii="Times New Roman" w:hAnsi="Times New Roman"/>
      <w:b/>
      <w:sz w:val="28"/>
    </w:rPr>
  </w:style>
  <w:style w:type="character" w:customStyle="1" w:styleId="Underline">
    <w:name w:val="Underline"/>
    <w:basedOn w:val="DefaultParagraphFont"/>
    <w:qFormat/>
    <w:rsid w:val="004F7D9A"/>
    <w:rPr>
      <w:u w:val="single"/>
    </w:rPr>
  </w:style>
  <w:style w:type="character" w:customStyle="1" w:styleId="BoldandItalics">
    <w:name w:val="Bold and Italics"/>
    <w:qFormat/>
    <w:rsid w:val="004F7D9A"/>
    <w:rPr>
      <w:b/>
      <w:i/>
      <w:u w:val="none"/>
    </w:rPr>
  </w:style>
  <w:style w:type="paragraph" w:styleId="BalloonText">
    <w:name w:val="Balloon Text"/>
    <w:basedOn w:val="Normal"/>
    <w:link w:val="BalloonTextChar"/>
    <w:rsid w:val="004F7D9A"/>
    <w:rPr>
      <w:rFonts w:ascii="Tahoma" w:hAnsi="Tahoma" w:cs="Tahoma"/>
      <w:sz w:val="16"/>
      <w:szCs w:val="16"/>
    </w:rPr>
  </w:style>
  <w:style w:type="character" w:customStyle="1" w:styleId="BalloonTextChar">
    <w:name w:val="Balloon Text Char"/>
    <w:basedOn w:val="DefaultParagraphFont"/>
    <w:link w:val="BalloonText"/>
    <w:rsid w:val="004F7D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D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D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D9A"/>
    <w:rPr>
      <w:b/>
      <w:color w:val="660033"/>
      <w:spacing w:val="0"/>
    </w:rPr>
  </w:style>
  <w:style w:type="paragraph" w:customStyle="1" w:styleId="Nameditemlist">
    <w:name w:val="Named item list"/>
    <w:basedOn w:val="BodyText"/>
    <w:qFormat/>
    <w:rsid w:val="004F7D9A"/>
    <w:pPr>
      <w:tabs>
        <w:tab w:val="left" w:pos="2835"/>
      </w:tabs>
      <w:ind w:left="2835" w:hanging="2835"/>
    </w:pPr>
  </w:style>
  <w:style w:type="paragraph" w:customStyle="1" w:styleId="BodyTextnopadding">
    <w:name w:val="Body Text no padding"/>
    <w:basedOn w:val="BodyText"/>
    <w:qFormat/>
    <w:rsid w:val="004F7D9A"/>
    <w:pPr>
      <w:spacing w:before="0" w:after="0"/>
    </w:pPr>
  </w:style>
  <w:style w:type="paragraph" w:customStyle="1" w:styleId="BodyTextBold">
    <w:name w:val="Body Text Bold"/>
    <w:basedOn w:val="BodyText"/>
    <w:qFormat/>
    <w:rsid w:val="004F7D9A"/>
    <w:rPr>
      <w:b/>
    </w:rPr>
  </w:style>
  <w:style w:type="character" w:styleId="Hyperlink">
    <w:name w:val="Hyperlink"/>
    <w:basedOn w:val="DefaultParagraphFont"/>
    <w:uiPriority w:val="99"/>
    <w:unhideWhenUsed/>
    <w:rsid w:val="00CC49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1216</Words>
  <Characters>7979</Characters>
  <Application>Microsoft Office Word</Application>
  <DocSecurity>0</DocSecurity>
  <Lines>257</Lines>
  <Paragraphs>153</Paragraphs>
  <ScaleCrop>false</ScaleCrop>
  <Company>Author-it Software Corporation Ltd.</Company>
  <LinksUpToDate>false</LinksUpToDate>
  <CharactersWithSpaces>9042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TLIX4036 Analyse, advise on and carry out integrated border clearance transactions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