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41D" w:rsidP="00D0641D">
      <w:pPr>
        <w:pStyle w:val="Title"/>
      </w:pPr>
      <w:r>
        <w:fldChar w:fldCharType="begin"/>
      </w:r>
      <w:r>
        <w:instrText xml:space="preserve"> TITLE   \* MERGEFORMAT </w:instrText>
      </w:r>
      <w:r>
        <w:fldChar w:fldCharType="separate"/>
      </w:r>
      <w:r>
        <w:t>TLIX4034 Apply technical risk management systems and techniques</w:t>
      </w:r>
      <w:r>
        <w:fldChar w:fldCharType="end"/>
      </w:r>
    </w:p>
    <w:p w:rsidR="00D0641D" w:rsidP="00D0641D">
      <w:pPr>
        <w:pStyle w:val="Version"/>
        <w:sectPr w:rsidSect="00DA78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8A7" w:rsidP="00DA78A7">
      <w:pPr>
        <w:pStyle w:val="SuperHeading"/>
      </w:pPr>
      <w:r w:rsidRPr="00DA78A7">
        <w:t>TLIX4034 Apply technical risk management systems and techniques</w:t>
      </w:r>
    </w:p>
    <w:p w:rsidR="00000000" w:rsidRPr="00DA78A7" w:rsidP="00DA78A7">
      <w:pPr>
        <w:pStyle w:val="Heading1"/>
      </w:pPr>
      <w:bookmarkStart w:id="1" w:name="O_754753"/>
      <w:bookmarkEnd w:id="1"/>
      <w:r w:rsidRPr="00DA78A7">
        <w:t>Modification History</w:t>
      </w:r>
    </w:p>
    <w:p w:rsidR="00D0641D" w:rsidP="00D0641D">
      <w:pPr>
        <w:pStyle w:val="BodyText"/>
      </w:pPr>
      <w:r w:rsidRPr="00DA78A7">
        <w:t>Release 1. This is the first release of this unit of competency in the TLI Transport and Logistics Training Package.</w:t>
      </w:r>
    </w:p>
    <w:p w:rsidR="00000000" w:rsidRPr="00DA78A7" w:rsidP="00DA78A7">
      <w:pPr>
        <w:pStyle w:val="Heading1"/>
      </w:pPr>
      <w:bookmarkStart w:id="2" w:name="O_754754"/>
      <w:bookmarkEnd w:id="2"/>
      <w:r w:rsidRPr="00DA78A7">
        <w:t>Application</w:t>
      </w:r>
    </w:p>
    <w:tbl>
      <w:tblPr>
        <w:tblW w:w="0" w:type="auto"/>
        <w:tblCellMar>
          <w:left w:w="62" w:type="dxa"/>
          <w:right w:w="62" w:type="dxa"/>
        </w:tblCellMar>
        <w:tblLook w:val="0000"/>
      </w:tblPr>
      <w:tblGrid>
        <w:gridCol w:w="9196"/>
      </w:tblGrid>
      <w:tr w:rsidTr="00D06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78A7" w:rsidP="00DA78A7">
            <w:pPr>
              <w:pStyle w:val="BodyText"/>
            </w:pPr>
            <w:r w:rsidRPr="00DA78A7">
              <w:t>This unit involves the skills and knowledge required to assist with aspects of risk management in relation to the technical integrity of an organisation’s materiel. It specifically involves assisting in assessing, controlling and reviewing risks associated</w:t>
            </w:r>
            <w:r w:rsidRPr="00DA78A7">
              <w:t xml:space="preserve"> with the organisation’s materiel. </w:t>
            </w:r>
          </w:p>
          <w:p w:rsidR="00000000" w:rsidRPr="00DA78A7" w:rsidP="00DA78A7">
            <w:pPr>
              <w:pStyle w:val="BodyText"/>
            </w:pPr>
            <w:r w:rsidRPr="00DA78A7">
              <w:t>This unit was developed for technical regulatory framework specialists working within materiel logistics but is applicable to individuals in broader logistics roles.</w:t>
            </w:r>
          </w:p>
          <w:p w:rsidR="00000000" w:rsidRPr="00DA78A7" w:rsidP="00DA78A7">
            <w:pPr>
              <w:pStyle w:val="BodyText"/>
            </w:pPr>
            <w:r w:rsidRPr="00DA78A7">
              <w:t>Typically these individuals work independently or as p</w:t>
            </w:r>
            <w:r w:rsidRPr="00DA78A7">
              <w:t>art of a team under direct and/or indirect supervision, use discretion and judgement, and take responsibility for the quality of their outputs. All activities are carried out in accordance with relevant organisational policy and procedures.</w:t>
            </w:r>
          </w:p>
          <w:p w:rsidR="00000000" w:rsidRPr="00DA78A7" w:rsidP="00DA78A7">
            <w:pPr>
              <w:pStyle w:val="BodyText"/>
            </w:pPr>
            <w:r w:rsidRPr="00DA78A7">
              <w:t>No licensing, l</w:t>
            </w:r>
            <w:r w:rsidRPr="00DA78A7">
              <w:t>egislative or certification requirements apply to this unit at the time of publication.</w:t>
            </w:r>
          </w:p>
        </w:tc>
      </w:tr>
    </w:tbl>
    <w:p w:rsidR="00D0641D" w:rsidP="00DA78A7">
      <w:pPr>
        <w:pStyle w:val="BodyText"/>
      </w:pPr>
    </w:p>
    <w:p w:rsidR="00D0641D" w:rsidP="00DA78A7">
      <w:pPr>
        <w:pStyle w:val="BodyText"/>
      </w:pPr>
    </w:p>
    <w:p w:rsidR="00000000" w:rsidRPr="00DA78A7" w:rsidP="00DA78A7">
      <w:pPr>
        <w:pStyle w:val="Heading1"/>
      </w:pPr>
      <w:bookmarkStart w:id="3" w:name="O_754755"/>
      <w:bookmarkEnd w:id="3"/>
      <w:r w:rsidRPr="00DA78A7">
        <w:t>Pre-requisite Unit</w:t>
      </w:r>
    </w:p>
    <w:p w:rsidR="00D0641D" w:rsidP="00D0641D">
      <w:pPr>
        <w:pStyle w:val="BodyText"/>
      </w:pPr>
      <w:r w:rsidRPr="00DA78A7">
        <w:t>Not applicable.</w:t>
      </w:r>
    </w:p>
    <w:p w:rsidR="00000000" w:rsidRPr="00DA78A7" w:rsidP="00DA78A7">
      <w:pPr>
        <w:pStyle w:val="Heading1"/>
      </w:pPr>
      <w:bookmarkStart w:id="4" w:name="O_754756"/>
      <w:bookmarkEnd w:id="4"/>
      <w:r w:rsidRPr="00DA78A7">
        <w:t>Competency Field</w:t>
      </w:r>
    </w:p>
    <w:p w:rsidR="00D0641D" w:rsidP="00D0641D">
      <w:pPr>
        <w:pStyle w:val="BodyText"/>
      </w:pPr>
      <w:r w:rsidRPr="00DA78A7">
        <w:t>X – Logistics</w:t>
      </w:r>
    </w:p>
    <w:p w:rsidR="00000000" w:rsidRPr="00DA78A7" w:rsidP="00DA78A7">
      <w:pPr>
        <w:pStyle w:val="Heading1"/>
      </w:pPr>
      <w:bookmarkStart w:id="5" w:name="O_754757"/>
      <w:bookmarkEnd w:id="5"/>
      <w:r w:rsidRPr="00DA78A7">
        <w:t>Unit Sector</w:t>
      </w:r>
    </w:p>
    <w:p w:rsidR="00D0641D" w:rsidP="00D0641D">
      <w:pPr>
        <w:pStyle w:val="BodyText"/>
      </w:pPr>
      <w:r w:rsidRPr="00DA78A7">
        <w:t>Not applicable.</w:t>
      </w:r>
    </w:p>
    <w:p w:rsidR="00000000" w:rsidRPr="00DA78A7" w:rsidP="00DA78A7">
      <w:pPr>
        <w:pStyle w:val="Heading1"/>
      </w:pPr>
      <w:bookmarkStart w:id="6" w:name="O_754758"/>
      <w:bookmarkEnd w:id="6"/>
      <w:r w:rsidRPr="00DA78A7">
        <w:t>Elements and Performance Criteria</w:t>
      </w:r>
    </w:p>
    <w:tbl>
      <w:tblPr>
        <w:tblW w:w="0" w:type="auto"/>
        <w:tblCellMar>
          <w:left w:w="62" w:type="dxa"/>
          <w:right w:w="62" w:type="dxa"/>
        </w:tblCellMar>
        <w:tblLook w:val="0000"/>
      </w:tblPr>
      <w:tblGrid>
        <w:gridCol w:w="332"/>
        <w:gridCol w:w="1769"/>
        <w:gridCol w:w="552"/>
        <w:gridCol w:w="6543"/>
      </w:tblGrid>
      <w:tr w:rsidTr="00D064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 xml:space="preserve">Elements describe the </w:t>
            </w:r>
            <w:r w:rsidRPr="00DA78A7">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 xml:space="preserve">Performance criteria describe the performance needed to demonstrate achievement of the </w:t>
            </w:r>
            <w:r w:rsidRPr="00DA78A7">
              <w:t>element.</w:t>
            </w:r>
          </w:p>
        </w:tc>
      </w:tr>
      <w:tr w:rsidTr="00D0641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A78A7" w:rsidP="00DA78A7">
            <w:pPr>
              <w:pStyle w:val="BodyText"/>
            </w:pPr>
            <w:r w:rsidRPr="00DA78A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rPr>
                <w:rStyle w:val="SpecialBold"/>
              </w:rPr>
              <w:t>Assist with risk assessment</w:t>
            </w: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1.1</w:t>
            </w: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Contribution is made to identify, analyse, eval</w:t>
            </w:r>
            <w:r w:rsidRPr="00DA78A7">
              <w:t>uate and prioritise risks to technical integrity of the organisation’s materiel</w:t>
            </w:r>
          </w:p>
        </w:tc>
      </w:tr>
      <w:tr w:rsidTr="00D06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1.2</w:t>
            </w: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Within delegated technical/engineering authority, input is provided to develop risk management strategies and risk management plans within established guidelines</w:t>
            </w:r>
          </w:p>
        </w:tc>
      </w:tr>
      <w:tr w:rsidTr="00D06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1.3</w:t>
            </w: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Established risk analysis methods, techniques and tools are used to assist in assessing risks in accordance with organisational plans</w:t>
            </w:r>
          </w:p>
        </w:tc>
      </w:tr>
      <w:tr w:rsidTr="00D06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1.4</w:t>
            </w: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Reporting mechanisms for risks to technical integrity are incorporated, in accordance with organisational plans</w:t>
            </w:r>
          </w:p>
        </w:tc>
      </w:tr>
      <w:tr w:rsidTr="00D0641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A78A7" w:rsidP="00DA78A7">
            <w:pPr>
              <w:pStyle w:val="BodyText"/>
            </w:pPr>
            <w:r w:rsidRPr="00DA78A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rPr>
                <w:rStyle w:val="SpecialBold"/>
              </w:rPr>
              <w:t>Conduct risk control activities</w:t>
            </w: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2.1</w:t>
            </w: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Risk control activities are undertaken in accordance with organisational plans</w:t>
            </w:r>
          </w:p>
        </w:tc>
      </w:tr>
      <w:tr w:rsidTr="00D06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2.2</w:t>
            </w: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Risks to technical integrity are acted on within technical/engineering authority or reported to others for response</w:t>
            </w:r>
          </w:p>
        </w:tc>
      </w:tr>
      <w:tr w:rsidTr="00D06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2.3</w:t>
            </w: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Contributio</w:t>
            </w:r>
            <w:r w:rsidRPr="00DA78A7">
              <w:t>n is made to implementing agreed risk approaches and amending plans to reflect changing context</w:t>
            </w:r>
          </w:p>
        </w:tc>
      </w:tr>
      <w:tr w:rsidTr="00D06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2.4</w:t>
            </w: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Opportunities are identified and reported for action in the same way as risks</w:t>
            </w:r>
          </w:p>
        </w:tc>
      </w:tr>
      <w:tr w:rsidTr="00D0641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A78A7" w:rsidP="00DA78A7">
            <w:pPr>
              <w:pStyle w:val="BodyText"/>
            </w:pPr>
            <w:r w:rsidRPr="00DA78A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rPr>
                <w:rStyle w:val="SpecialBold"/>
              </w:rPr>
              <w:t>Contribute to assessing risk management outcomes</w:t>
            </w: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3.1</w:t>
            </w: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Contribution is made to the ongoing review of the technical integrity of organisational materiel to determine the effectiveness of risk management activities by accessing data and available information</w:t>
            </w:r>
          </w:p>
        </w:tc>
      </w:tr>
      <w:tr w:rsidTr="00D06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A78A7">
            <w:pPr>
              <w:pStyle w:val="BodyText"/>
              <w:rPr>
                <w:lang w:val="en-NZ"/>
              </w:rPr>
            </w:pPr>
            <w:r w:rsidRPr="00DA78A7">
              <w:t>3.2</w:t>
            </w:r>
          </w:p>
        </w:tc>
        <w:tc>
          <w:tcPr>
            <w:tcW w:w="0" w:type="auto"/>
            <w:tcBorders>
              <w:top w:val="nil"/>
              <w:left w:val="nil"/>
              <w:bottom w:val="nil"/>
              <w:right w:val="nil"/>
            </w:tcBorders>
            <w:tcMar>
              <w:top w:w="0" w:type="dxa"/>
              <w:left w:w="62" w:type="dxa"/>
              <w:bottom w:w="0" w:type="dxa"/>
              <w:right w:w="62" w:type="dxa"/>
            </w:tcMar>
          </w:tcPr>
          <w:p w:rsidR="00000000" w:rsidRPr="00DA78A7" w:rsidP="00DA78A7">
            <w:pPr>
              <w:pStyle w:val="BodyText"/>
            </w:pPr>
            <w:r w:rsidRPr="00DA78A7">
              <w:t>Risk management issues and responses are report</w:t>
            </w:r>
            <w:r w:rsidRPr="00DA78A7">
              <w:t>ed to others for lessons learned or application in future technical/engineering activities</w:t>
            </w:r>
          </w:p>
        </w:tc>
      </w:tr>
    </w:tbl>
    <w:p w:rsidR="00D0641D" w:rsidP="00DA78A7">
      <w:pPr>
        <w:pStyle w:val="BodyText"/>
      </w:pPr>
    </w:p>
    <w:p w:rsidR="00D0641D" w:rsidP="00DA78A7">
      <w:pPr>
        <w:pStyle w:val="BodyText"/>
      </w:pPr>
    </w:p>
    <w:p w:rsidR="00000000" w:rsidRPr="00DA78A7" w:rsidP="00DA78A7">
      <w:pPr>
        <w:pStyle w:val="Heading1"/>
      </w:pPr>
      <w:bookmarkStart w:id="7" w:name="O_754759"/>
      <w:bookmarkEnd w:id="7"/>
      <w:r w:rsidRPr="00DA78A7">
        <w:t>Foundation Skills</w:t>
      </w:r>
    </w:p>
    <w:tbl>
      <w:tblPr>
        <w:tblW w:w="9498" w:type="dxa"/>
        <w:tblLayout w:type="fixed"/>
        <w:tblCellMar>
          <w:left w:w="62" w:type="dxa"/>
          <w:right w:w="62" w:type="dxa"/>
        </w:tblCellMar>
        <w:tblLook w:val="0000"/>
      </w:tblPr>
      <w:tblGrid>
        <w:gridCol w:w="9498"/>
      </w:tblGrid>
      <w:tr w:rsidTr="00DA78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A78A7" w:rsidP="00DA78A7">
            <w:pPr>
              <w:pStyle w:val="BodyText"/>
            </w:pPr>
            <w:r w:rsidRPr="00DA78A7">
              <w:t>Foundation skills essential to performance are explicit in the performance criteria of this unit of competency.</w:t>
            </w:r>
          </w:p>
        </w:tc>
      </w:tr>
    </w:tbl>
    <w:p w:rsidR="00D0641D" w:rsidP="00DA78A7">
      <w:pPr>
        <w:pStyle w:val="BodyText"/>
      </w:pPr>
    </w:p>
    <w:p w:rsidR="00D0641D" w:rsidP="00DA78A7">
      <w:pPr>
        <w:pStyle w:val="BodyText"/>
      </w:pPr>
    </w:p>
    <w:p w:rsidR="00000000" w:rsidRPr="00DA78A7" w:rsidP="00DA78A7">
      <w:pPr>
        <w:pStyle w:val="Heading1"/>
      </w:pPr>
      <w:bookmarkStart w:id="8" w:name="O_754760"/>
      <w:bookmarkEnd w:id="8"/>
      <w:r w:rsidRPr="00DA78A7">
        <w:t>Range of Conditions</w:t>
      </w:r>
    </w:p>
    <w:tbl>
      <w:tblPr>
        <w:tblW w:w="0" w:type="auto"/>
        <w:tblCellMar>
          <w:left w:w="62" w:type="dxa"/>
          <w:right w:w="62" w:type="dxa"/>
        </w:tblCellMar>
        <w:tblLook w:val="0000"/>
      </w:tblPr>
      <w:tblGrid>
        <w:gridCol w:w="9196"/>
      </w:tblGrid>
      <w:tr w:rsidTr="00D06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78A7" w:rsidP="00DA78A7">
            <w:pPr>
              <w:pStyle w:val="BodyText"/>
            </w:pPr>
            <w:r w:rsidRPr="00DA78A7">
              <w:t>Range is restricted to essential operating conditions and any other variables essential to the work environment.</w:t>
            </w:r>
          </w:p>
          <w:p w:rsidR="00000000" w:rsidRPr="00DA78A7" w:rsidP="00DA78A7">
            <w:pPr>
              <w:pStyle w:val="BodyText"/>
            </w:pPr>
            <w:r w:rsidRPr="00DA78A7">
              <w:t>Non-essential conditions can be found in the Companion Volume Implementation Guide.</w:t>
            </w:r>
          </w:p>
        </w:tc>
      </w:tr>
    </w:tbl>
    <w:p w:rsidR="00D0641D" w:rsidP="00DA78A7">
      <w:pPr>
        <w:pStyle w:val="BodyText"/>
      </w:pPr>
    </w:p>
    <w:p w:rsidR="00D0641D" w:rsidP="00DA78A7">
      <w:pPr>
        <w:pStyle w:val="BodyText"/>
      </w:pPr>
    </w:p>
    <w:p w:rsidR="00000000" w:rsidRPr="00DA78A7" w:rsidP="00DA78A7">
      <w:pPr>
        <w:pStyle w:val="Heading1"/>
      </w:pPr>
      <w:bookmarkStart w:id="9" w:name="O_754761"/>
      <w:bookmarkEnd w:id="9"/>
      <w:r w:rsidRPr="00DA78A7">
        <w:t>Unit Mapping Information</w:t>
      </w:r>
    </w:p>
    <w:tbl>
      <w:tblPr>
        <w:tblW w:w="9498" w:type="dxa"/>
        <w:tblLayout w:type="fixed"/>
        <w:tblCellMar>
          <w:left w:w="62" w:type="dxa"/>
          <w:right w:w="62" w:type="dxa"/>
        </w:tblCellMar>
        <w:tblLook w:val="0000"/>
      </w:tblPr>
      <w:tblGrid>
        <w:gridCol w:w="9498"/>
      </w:tblGrid>
      <w:tr w:rsidTr="00DA78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A78A7" w:rsidP="00DA78A7">
            <w:pPr>
              <w:pStyle w:val="BodyText"/>
            </w:pPr>
            <w:r w:rsidRPr="00DA78A7">
              <w:t>This unit replaces and is equivalent to TLIX4034A Apply technical risk management systems and techniques.</w:t>
            </w:r>
          </w:p>
        </w:tc>
      </w:tr>
    </w:tbl>
    <w:p w:rsidR="00D0641D" w:rsidP="00DA78A7">
      <w:pPr>
        <w:pStyle w:val="BodyText"/>
      </w:pPr>
    </w:p>
    <w:p w:rsidR="00D0641D" w:rsidP="00DA78A7">
      <w:pPr>
        <w:pStyle w:val="BodyText"/>
      </w:pPr>
    </w:p>
    <w:p w:rsidR="00000000" w:rsidRPr="00DA78A7" w:rsidP="00DA78A7">
      <w:pPr>
        <w:pStyle w:val="Heading1"/>
      </w:pPr>
      <w:bookmarkStart w:id="10" w:name="O_754768"/>
      <w:bookmarkEnd w:id="10"/>
      <w:r w:rsidRPr="00DA78A7">
        <w:t>Links</w:t>
      </w:r>
    </w:p>
    <w:p w:rsidR="00000000" w:rsidRPr="00DA78A7" w:rsidP="00D0641D">
      <w:pPr>
        <w:pStyle w:val="BodyText"/>
      </w:pPr>
      <w:r w:rsidRPr="00DA78A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D1299">
        <w:rPr>
          <w:rStyle w:val="Hyperlink"/>
        </w:rPr>
        <w:t>https://vetnet.gov.au/Pages/TrainingDocs.aspx?q=df441c6e-213d-43e3-874c-0b3f7036d851</w:t>
      </w:r>
      <w:r>
        <w:fldChar w:fldCharType="end"/>
      </w:r>
    </w:p>
    <w:p w:rsidR="00000000" w:rsidRPr="00DA78A7" w:rsidP="00DA78A7"/>
    <w:sectPr w:rsidSect="00DA78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A7" w:rsidRPr="00D0641D" w:rsidP="00D064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1D" w:rsidP="00DA7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641D" w:rsidP="00DA78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0641D" w:rsidP="00DA7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8A7" w:rsidRPr="00D0641D" w:rsidP="00D064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1D" w:rsidRPr="002D2AF8" w:rsidP="00DA78A7">
    <w:pPr>
      <w:pStyle w:val="Header"/>
      <w:framePr w:wrap="around"/>
    </w:pPr>
    <w:r>
      <w:fldChar w:fldCharType="begin"/>
    </w:r>
    <w:r>
      <w:instrText xml:space="preserve"> TITLE   \* MERGEFORMAT </w:instrText>
    </w:r>
    <w:r>
      <w:fldChar w:fldCharType="separate"/>
    </w:r>
    <w:r>
      <w:t>TLIX4034 Apply technical risk management systems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D0641D" w:rsidP="00DA7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8A7"/>
    <w:pPr>
      <w:spacing w:before="360" w:after="60"/>
      <w:outlineLvl w:val="0"/>
    </w:pPr>
    <w:rPr>
      <w:sz w:val="32"/>
    </w:rPr>
  </w:style>
  <w:style w:type="paragraph" w:styleId="Heading2">
    <w:name w:val="heading 2"/>
    <w:basedOn w:val="HeadingBase"/>
    <w:next w:val="BodyText"/>
    <w:link w:val="Heading2Char"/>
    <w:qFormat/>
    <w:rsid w:val="00DA78A7"/>
    <w:pPr>
      <w:keepLines/>
      <w:spacing w:before="240" w:after="120"/>
      <w:outlineLvl w:val="1"/>
    </w:pPr>
    <w:rPr>
      <w:sz w:val="28"/>
      <w:szCs w:val="40"/>
    </w:rPr>
  </w:style>
  <w:style w:type="paragraph" w:styleId="Heading3">
    <w:name w:val="heading 3"/>
    <w:basedOn w:val="HeadingBase"/>
    <w:next w:val="BodyText"/>
    <w:link w:val="Heading3Char"/>
    <w:qFormat/>
    <w:rsid w:val="00DA78A7"/>
    <w:pPr>
      <w:spacing w:before="180" w:after="120"/>
      <w:outlineLvl w:val="2"/>
    </w:pPr>
    <w:rPr>
      <w:spacing w:val="-10"/>
      <w:kern w:val="32"/>
    </w:rPr>
  </w:style>
  <w:style w:type="paragraph" w:styleId="Heading4">
    <w:name w:val="heading 4"/>
    <w:basedOn w:val="HeadingBase"/>
    <w:next w:val="BodyText"/>
    <w:link w:val="Heading4Char"/>
    <w:qFormat/>
    <w:rsid w:val="00DA78A7"/>
    <w:pPr>
      <w:spacing w:before="160" w:after="120"/>
      <w:outlineLvl w:val="3"/>
    </w:pPr>
    <w:rPr>
      <w:sz w:val="22"/>
    </w:rPr>
  </w:style>
  <w:style w:type="paragraph" w:styleId="Heading5">
    <w:name w:val="heading 5"/>
    <w:basedOn w:val="HeadingBase"/>
    <w:next w:val="Normal"/>
    <w:link w:val="Heading5Char"/>
    <w:qFormat/>
    <w:rsid w:val="00DA78A7"/>
    <w:pPr>
      <w:spacing w:before="80"/>
      <w:outlineLvl w:val="4"/>
    </w:pPr>
    <w:rPr>
      <w:color w:val="918585"/>
      <w:sz w:val="20"/>
    </w:rPr>
  </w:style>
  <w:style w:type="paragraph" w:styleId="Heading6">
    <w:name w:val="heading 6"/>
    <w:basedOn w:val="HeadingBase"/>
    <w:next w:val="Normal"/>
    <w:link w:val="Heading6Char"/>
    <w:qFormat/>
    <w:rsid w:val="00DA78A7"/>
    <w:pPr>
      <w:spacing w:before="60"/>
      <w:outlineLvl w:val="5"/>
    </w:pPr>
    <w:rPr>
      <w:color w:val="918585"/>
      <w:sz w:val="20"/>
    </w:rPr>
  </w:style>
  <w:style w:type="paragraph" w:styleId="Heading7">
    <w:name w:val="heading 7"/>
    <w:basedOn w:val="Normal"/>
    <w:next w:val="Normal"/>
    <w:link w:val="Heading7Char"/>
    <w:qFormat/>
    <w:rsid w:val="00DA78A7"/>
    <w:pPr>
      <w:ind w:left="720"/>
      <w:outlineLvl w:val="6"/>
    </w:pPr>
    <w:rPr>
      <w:i/>
    </w:rPr>
  </w:style>
  <w:style w:type="paragraph" w:styleId="Heading8">
    <w:name w:val="heading 8"/>
    <w:basedOn w:val="Normal"/>
    <w:next w:val="Normal"/>
    <w:link w:val="Heading8Char"/>
    <w:qFormat/>
    <w:rsid w:val="00DA78A7"/>
    <w:pPr>
      <w:ind w:left="720"/>
      <w:outlineLvl w:val="7"/>
    </w:pPr>
    <w:rPr>
      <w:i/>
    </w:rPr>
  </w:style>
  <w:style w:type="paragraph" w:styleId="Heading9">
    <w:name w:val="heading 9"/>
    <w:basedOn w:val="Normal"/>
    <w:next w:val="Normal"/>
    <w:link w:val="Heading9Char"/>
    <w:qFormat/>
    <w:rsid w:val="00DA78A7"/>
    <w:pPr>
      <w:ind w:left="720"/>
      <w:outlineLvl w:val="8"/>
    </w:pPr>
    <w:rPr>
      <w:i/>
    </w:rPr>
  </w:style>
  <w:style w:type="character" w:default="1" w:styleId="DefaultParagraphFont">
    <w:name w:val="Default Paragraph Font"/>
    <w:uiPriority w:val="1"/>
    <w:unhideWhenUsed/>
    <w:rsid w:val="00DA7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8A7"/>
  </w:style>
  <w:style w:type="character" w:customStyle="1" w:styleId="Heading1Char">
    <w:name w:val="Heading 1 Char"/>
    <w:basedOn w:val="DefaultParagraphFont"/>
    <w:link w:val="Heading1"/>
    <w:rsid w:val="00DA78A7"/>
    <w:rPr>
      <w:rFonts w:ascii="Times New Roman" w:eastAsia="Times New Roman" w:hAnsi="Times New Roman" w:cs="Times New Roman"/>
      <w:b/>
      <w:sz w:val="32"/>
      <w:szCs w:val="20"/>
      <w:lang w:eastAsia="en-US"/>
    </w:rPr>
  </w:style>
  <w:style w:type="paragraph" w:styleId="BodyText">
    <w:name w:val="Body Text"/>
    <w:basedOn w:val="Normal"/>
    <w:link w:val="BodyTextChar"/>
    <w:rsid w:val="00DA7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8A7"/>
    <w:rPr>
      <w:rFonts w:ascii="Times New Roman" w:eastAsia="Times New Roman" w:hAnsi="Times New Roman" w:cs="Times New Roman"/>
      <w:sz w:val="24"/>
      <w:lang w:eastAsia="en-US"/>
    </w:rPr>
  </w:style>
  <w:style w:type="character" w:customStyle="1" w:styleId="SpecialBold">
    <w:name w:val="Special Bold"/>
    <w:basedOn w:val="DefaultParagraphFont"/>
    <w:rsid w:val="00DA78A7"/>
    <w:rPr>
      <w:b/>
      <w:spacing w:val="0"/>
    </w:rPr>
  </w:style>
  <w:style w:type="paragraph" w:customStyle="1" w:styleId="SuperHeading">
    <w:name w:val="SuperHeading"/>
    <w:basedOn w:val="Normal"/>
    <w:rsid w:val="00DA78A7"/>
    <w:pPr>
      <w:spacing w:before="240" w:after="120"/>
      <w:outlineLvl w:val="0"/>
    </w:pPr>
    <w:rPr>
      <w:rFonts w:ascii="Times New Roman" w:hAnsi="Times New Roman"/>
      <w:b/>
      <w:sz w:val="32"/>
    </w:rPr>
  </w:style>
  <w:style w:type="paragraph" w:customStyle="1" w:styleId="AllowPageBreak">
    <w:name w:val="AllowPageBreak"/>
    <w:rsid w:val="00DA78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7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8A7"/>
    <w:rPr>
      <w:rFonts w:ascii="Courier New" w:eastAsia="Times New Roman" w:hAnsi="Courier New" w:cs="Times New Roman"/>
      <w:i/>
      <w:szCs w:val="20"/>
      <w:lang w:eastAsia="en-US"/>
    </w:rPr>
  </w:style>
  <w:style w:type="paragraph" w:customStyle="1" w:styleId="HeadingBase">
    <w:name w:val="Heading Base"/>
    <w:rsid w:val="00DA7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8A7"/>
    <w:pPr>
      <w:tabs>
        <w:tab w:val="right" w:leader="dot" w:pos="9072"/>
      </w:tabs>
      <w:ind w:left="567"/>
    </w:pPr>
    <w:rPr>
      <w:szCs w:val="22"/>
    </w:rPr>
  </w:style>
  <w:style w:type="paragraph" w:customStyle="1" w:styleId="TOCBase">
    <w:name w:val="TOC Base"/>
    <w:rsid w:val="00DA7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8A7"/>
    <w:pPr>
      <w:tabs>
        <w:tab w:val="right" w:leader="dot" w:pos="9072"/>
      </w:tabs>
      <w:spacing w:before="40" w:after="40"/>
      <w:ind w:left="284"/>
    </w:pPr>
    <w:rPr>
      <w:rFonts w:ascii="Times New Roman" w:hAnsi="Times New Roman"/>
    </w:rPr>
  </w:style>
  <w:style w:type="paragraph" w:styleId="TOC1">
    <w:name w:val="toc 1"/>
    <w:basedOn w:val="TOCBase"/>
    <w:next w:val="Normal"/>
    <w:rsid w:val="00DA7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8A7"/>
    <w:rPr>
      <w:rFonts w:ascii="Times New Roman" w:eastAsia="Times New Roman" w:hAnsi="Times New Roman" w:cs="Times New Roman"/>
      <w:sz w:val="16"/>
      <w:lang w:eastAsia="en-US"/>
    </w:rPr>
  </w:style>
  <w:style w:type="paragraph" w:styleId="Title">
    <w:name w:val="Title"/>
    <w:basedOn w:val="HeadingBase"/>
    <w:link w:val="TitleChar"/>
    <w:qFormat/>
    <w:rsid w:val="00DA78A7"/>
    <w:pPr>
      <w:spacing w:before="5040"/>
      <w:jc w:val="center"/>
    </w:pPr>
    <w:rPr>
      <w:sz w:val="48"/>
      <w:szCs w:val="72"/>
      <w:lang w:val="en-US"/>
    </w:rPr>
  </w:style>
  <w:style w:type="character" w:customStyle="1" w:styleId="TitleChar">
    <w:name w:val="Title Char"/>
    <w:basedOn w:val="DefaultParagraphFont"/>
    <w:link w:val="Title"/>
    <w:rsid w:val="00DA7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8A7"/>
    <w:pPr>
      <w:tabs>
        <w:tab w:val="left" w:pos="3600"/>
        <w:tab w:val="left" w:pos="3958"/>
      </w:tabs>
    </w:pPr>
  </w:style>
  <w:style w:type="paragraph" w:styleId="List">
    <w:name w:val="List"/>
    <w:basedOn w:val="BodyText"/>
    <w:next w:val="BodyText"/>
    <w:rsid w:val="00DA78A7"/>
    <w:pPr>
      <w:tabs>
        <w:tab w:val="left" w:pos="340"/>
      </w:tabs>
      <w:spacing w:before="60" w:after="60"/>
      <w:ind w:left="340" w:hanging="340"/>
    </w:pPr>
  </w:style>
  <w:style w:type="paragraph" w:styleId="ListBullet">
    <w:name w:val="List Bullet"/>
    <w:basedOn w:val="List"/>
    <w:rsid w:val="00DA78A7"/>
    <w:pPr>
      <w:numPr>
        <w:numId w:val="10"/>
      </w:numPr>
      <w:tabs>
        <w:tab w:val="clear" w:pos="340"/>
      </w:tabs>
      <w:spacing w:before="40" w:after="40"/>
    </w:pPr>
  </w:style>
  <w:style w:type="paragraph" w:customStyle="1" w:styleId="Note">
    <w:name w:val="Note"/>
    <w:basedOn w:val="BodyText"/>
    <w:rsid w:val="00DA7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8A7"/>
    <w:pPr>
      <w:framePr w:wrap="auto" w:hAnchor="text" w:y="6049"/>
    </w:pPr>
    <w:rPr>
      <w:color w:val="000000"/>
      <w:sz w:val="40"/>
    </w:rPr>
  </w:style>
  <w:style w:type="paragraph" w:customStyle="1" w:styleId="TOCTitle">
    <w:name w:val="TOCTitle"/>
    <w:basedOn w:val="Heading1"/>
    <w:rsid w:val="00DA78A7"/>
    <w:pPr>
      <w:spacing w:after="240"/>
      <w:jc w:val="center"/>
      <w:outlineLvl w:val="9"/>
    </w:pPr>
    <w:rPr>
      <w:caps/>
    </w:rPr>
  </w:style>
  <w:style w:type="paragraph" w:customStyle="1" w:styleId="Version">
    <w:name w:val="Version"/>
    <w:rsid w:val="00DA78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78A7"/>
    <w:pPr>
      <w:numPr>
        <w:numId w:val="11"/>
      </w:numPr>
      <w:tabs>
        <w:tab w:val="clear" w:pos="680"/>
      </w:tabs>
    </w:pPr>
  </w:style>
  <w:style w:type="paragraph" w:styleId="Index1">
    <w:name w:val="index 1"/>
    <w:basedOn w:val="Normal"/>
    <w:next w:val="Normal"/>
    <w:semiHidden/>
    <w:rsid w:val="00DA78A7"/>
    <w:pPr>
      <w:keepNext w:val="0"/>
      <w:tabs>
        <w:tab w:val="right" w:pos="4176"/>
      </w:tabs>
      <w:ind w:left="198" w:hanging="198"/>
    </w:pPr>
    <w:rPr>
      <w:rFonts w:ascii="Garamond" w:hAnsi="Garamond"/>
    </w:rPr>
  </w:style>
  <w:style w:type="paragraph" w:styleId="IndexHeading">
    <w:name w:val="index heading"/>
    <w:basedOn w:val="Normal"/>
    <w:next w:val="Index1"/>
    <w:semiHidden/>
    <w:rsid w:val="00DA78A7"/>
    <w:pPr>
      <w:spacing w:before="120" w:after="120"/>
    </w:pPr>
    <w:rPr>
      <w:rFonts w:ascii="Arial" w:hAnsi="Arial"/>
      <w:b/>
      <w:color w:val="918585"/>
      <w:sz w:val="24"/>
    </w:rPr>
  </w:style>
  <w:style w:type="paragraph" w:styleId="Header">
    <w:name w:val="header"/>
    <w:basedOn w:val="Normal"/>
    <w:link w:val="HeaderChar"/>
    <w:rsid w:val="00DA7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8A7"/>
    <w:rPr>
      <w:rFonts w:ascii="Times New Roman" w:eastAsia="Times New Roman" w:hAnsi="Times New Roman" w:cs="Times New Roman"/>
      <w:sz w:val="16"/>
      <w:szCs w:val="20"/>
      <w:lang w:val="en-GB" w:eastAsia="en-US"/>
    </w:rPr>
  </w:style>
  <w:style w:type="paragraph" w:customStyle="1" w:styleId="Chapter">
    <w:name w:val="Chapter"/>
    <w:basedOn w:val="Normal"/>
    <w:rsid w:val="00DA78A7"/>
    <w:pPr>
      <w:spacing w:before="240"/>
    </w:pPr>
    <w:rPr>
      <w:rFonts w:ascii="Times New Roman" w:hAnsi="Times New Roman"/>
      <w:smallCaps/>
      <w:spacing w:val="80"/>
      <w:sz w:val="28"/>
    </w:rPr>
  </w:style>
  <w:style w:type="paragraph" w:customStyle="1" w:styleId="InChapter">
    <w:name w:val="InChapter"/>
    <w:basedOn w:val="Heading3"/>
    <w:rsid w:val="00DA78A7"/>
    <w:pPr>
      <w:spacing w:after="240"/>
      <w:outlineLvl w:val="9"/>
    </w:pPr>
    <w:rPr>
      <w:noProof/>
    </w:rPr>
  </w:style>
  <w:style w:type="paragraph" w:styleId="Index2">
    <w:name w:val="index 2"/>
    <w:basedOn w:val="Normal"/>
    <w:next w:val="Normal"/>
    <w:semiHidden/>
    <w:rsid w:val="00DA78A7"/>
    <w:pPr>
      <w:tabs>
        <w:tab w:val="right" w:pos="4176"/>
      </w:tabs>
      <w:ind w:left="568" w:hanging="284"/>
    </w:pPr>
    <w:rPr>
      <w:rFonts w:ascii="Garamond" w:hAnsi="Garamond"/>
    </w:rPr>
  </w:style>
  <w:style w:type="paragraph" w:customStyle="1" w:styleId="Byline">
    <w:name w:val="Byline"/>
    <w:rsid w:val="00DA7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8A7"/>
    <w:pPr>
      <w:tabs>
        <w:tab w:val="clear" w:pos="3600"/>
        <w:tab w:val="clear" w:pos="3958"/>
      </w:tabs>
      <w:jc w:val="right"/>
    </w:pPr>
  </w:style>
  <w:style w:type="character" w:styleId="Emphasis">
    <w:name w:val="Emphasis"/>
    <w:basedOn w:val="DefaultParagraphFont"/>
    <w:qFormat/>
    <w:rsid w:val="00DA78A7"/>
    <w:rPr>
      <w:i/>
    </w:rPr>
  </w:style>
  <w:style w:type="paragraph" w:styleId="Caption">
    <w:name w:val="caption"/>
    <w:basedOn w:val="BodyText"/>
    <w:next w:val="Normal"/>
    <w:qFormat/>
    <w:rsid w:val="00DA78A7"/>
    <w:pPr>
      <w:framePr w:w="2268" w:hSpace="181" w:vSpace="181" w:wrap="around" w:vAnchor="text" w:hAnchor="page" w:x="1135" w:y="285" w:anchorLock="1"/>
    </w:pPr>
    <w:rPr>
      <w:i/>
    </w:rPr>
  </w:style>
  <w:style w:type="paragraph" w:customStyle="1" w:styleId="MiniTOCTitle">
    <w:name w:val="MiniTOCTitle"/>
    <w:basedOn w:val="Heading4"/>
    <w:rsid w:val="00DA78A7"/>
    <w:pPr>
      <w:spacing w:before="240"/>
      <w:outlineLvl w:val="9"/>
    </w:pPr>
    <w:rPr>
      <w:noProof/>
      <w:sz w:val="24"/>
    </w:rPr>
  </w:style>
  <w:style w:type="paragraph" w:customStyle="1" w:styleId="MiniTOCItem">
    <w:name w:val="MiniTOCItem"/>
    <w:basedOn w:val="ListBullet"/>
    <w:rsid w:val="00DA78A7"/>
    <w:pPr>
      <w:numPr>
        <w:numId w:val="0"/>
      </w:numPr>
      <w:tabs>
        <w:tab w:val="right" w:leader="dot" w:pos="6521"/>
      </w:tabs>
      <w:spacing w:before="0" w:after="0"/>
    </w:pPr>
  </w:style>
  <w:style w:type="paragraph" w:customStyle="1" w:styleId="TOFTitle">
    <w:name w:val="TOFTitle"/>
    <w:basedOn w:val="TOCTitle"/>
    <w:rsid w:val="00DA78A7"/>
  </w:style>
  <w:style w:type="paragraph" w:styleId="TableofFigures">
    <w:name w:val="table of figures"/>
    <w:basedOn w:val="Normal"/>
    <w:next w:val="Normal"/>
    <w:semiHidden/>
    <w:rsid w:val="00DA78A7"/>
    <w:pPr>
      <w:tabs>
        <w:tab w:val="right" w:leader="dot" w:pos="9072"/>
      </w:tabs>
      <w:ind w:left="970" w:hanging="403"/>
    </w:pPr>
    <w:rPr>
      <w:rFonts w:ascii="Times New Roman" w:hAnsi="Times New Roman"/>
      <w:b/>
    </w:rPr>
  </w:style>
  <w:style w:type="paragraph" w:styleId="ListNumber">
    <w:name w:val="List Number"/>
    <w:basedOn w:val="List"/>
    <w:rsid w:val="00DA78A7"/>
    <w:pPr>
      <w:numPr>
        <w:numId w:val="13"/>
      </w:numPr>
      <w:tabs>
        <w:tab w:val="clear" w:pos="340"/>
      </w:tabs>
    </w:pPr>
  </w:style>
  <w:style w:type="character" w:customStyle="1" w:styleId="WingdingSymbols">
    <w:name w:val="Wingding Symbols"/>
    <w:rsid w:val="00DA78A7"/>
    <w:rPr>
      <w:rFonts w:ascii="Wingdings" w:hAnsi="Wingdings"/>
    </w:rPr>
  </w:style>
  <w:style w:type="paragraph" w:customStyle="1" w:styleId="TableHeading">
    <w:name w:val="Table Heading"/>
    <w:basedOn w:val="HeadingBase"/>
    <w:rsid w:val="00DA78A7"/>
    <w:pPr>
      <w:keepLines/>
      <w:pBdr>
        <w:bottom w:val="single" w:sz="6" w:space="1" w:color="918585"/>
      </w:pBdr>
      <w:spacing w:before="240"/>
    </w:pPr>
  </w:style>
  <w:style w:type="character" w:customStyle="1" w:styleId="HotSpot">
    <w:name w:val="HotSpot"/>
    <w:rsid w:val="00DA78A7"/>
    <w:rPr>
      <w:color w:val="0033CC"/>
      <w:u w:val="none"/>
    </w:rPr>
  </w:style>
  <w:style w:type="paragraph" w:customStyle="1" w:styleId="BodyTextRight">
    <w:name w:val="Body Text Right"/>
    <w:basedOn w:val="BodyText"/>
    <w:rsid w:val="00DA78A7"/>
    <w:pPr>
      <w:spacing w:before="0" w:after="0"/>
      <w:jc w:val="right"/>
    </w:pPr>
  </w:style>
  <w:style w:type="paragraph" w:styleId="Index3">
    <w:name w:val="index 3"/>
    <w:basedOn w:val="ListNumber2"/>
    <w:next w:val="Normal"/>
    <w:semiHidden/>
    <w:rsid w:val="00DA78A7"/>
    <w:pPr>
      <w:numPr>
        <w:numId w:val="0"/>
      </w:numPr>
      <w:tabs>
        <w:tab w:val="right" w:leader="dot" w:pos="4176"/>
      </w:tabs>
    </w:pPr>
  </w:style>
  <w:style w:type="paragraph" w:styleId="ListNumber2">
    <w:name w:val="List Number 2"/>
    <w:basedOn w:val="List2"/>
    <w:rsid w:val="00DA78A7"/>
    <w:pPr>
      <w:numPr>
        <w:numId w:val="8"/>
      </w:numPr>
      <w:tabs>
        <w:tab w:val="clear" w:pos="1060"/>
      </w:tabs>
    </w:pPr>
  </w:style>
  <w:style w:type="paragraph" w:customStyle="1" w:styleId="MarginNote">
    <w:name w:val="Margin Note"/>
    <w:basedOn w:val="BodyText"/>
    <w:rsid w:val="00DA7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8A7"/>
    <w:rPr>
      <w:sz w:val="32"/>
    </w:rPr>
  </w:style>
  <w:style w:type="paragraph" w:customStyle="1" w:styleId="HeadingProcedure">
    <w:name w:val="Heading Procedure"/>
    <w:basedOn w:val="HeadingBase"/>
    <w:next w:val="Normal"/>
    <w:rsid w:val="00DA78A7"/>
    <w:pPr>
      <w:tabs>
        <w:tab w:val="left" w:pos="0"/>
      </w:tabs>
      <w:spacing w:before="120" w:after="60"/>
    </w:pPr>
    <w:rPr>
      <w:i/>
      <w:color w:val="918585"/>
      <w:sz w:val="22"/>
    </w:rPr>
  </w:style>
  <w:style w:type="paragraph" w:customStyle="1" w:styleId="TableBodyText">
    <w:name w:val="Table Body Text"/>
    <w:basedOn w:val="BodyText"/>
    <w:rsid w:val="00DA78A7"/>
    <w:pPr>
      <w:spacing w:before="60" w:after="60"/>
    </w:pPr>
  </w:style>
  <w:style w:type="paragraph" w:styleId="ListContinue">
    <w:name w:val="List Continue"/>
    <w:basedOn w:val="List"/>
    <w:rsid w:val="00DA78A7"/>
    <w:pPr>
      <w:ind w:firstLine="0"/>
    </w:pPr>
  </w:style>
  <w:style w:type="paragraph" w:customStyle="1" w:styleId="ListNote">
    <w:name w:val="List Note"/>
    <w:basedOn w:val="List"/>
    <w:rsid w:val="00DA78A7"/>
    <w:pPr>
      <w:pBdr>
        <w:top w:val="single" w:sz="6" w:space="2" w:color="918585"/>
        <w:bottom w:val="single" w:sz="6" w:space="2" w:color="918585"/>
      </w:pBdr>
      <w:tabs>
        <w:tab w:val="left" w:pos="1021"/>
      </w:tabs>
      <w:ind w:firstLine="0"/>
    </w:pPr>
  </w:style>
  <w:style w:type="paragraph" w:customStyle="1" w:styleId="Warning">
    <w:name w:val="Warning"/>
    <w:basedOn w:val="BodyText"/>
    <w:rsid w:val="00DA78A7"/>
    <w:pPr>
      <w:shd w:val="clear" w:color="auto" w:fill="D9D9D9"/>
      <w:tabs>
        <w:tab w:val="left" w:pos="992"/>
      </w:tabs>
      <w:ind w:left="119" w:right="119"/>
    </w:pPr>
    <w:rPr>
      <w:sz w:val="20"/>
    </w:rPr>
  </w:style>
  <w:style w:type="paragraph" w:customStyle="1" w:styleId="MarginIcons">
    <w:name w:val="Margin Icons"/>
    <w:basedOn w:val="BodyText"/>
    <w:rsid w:val="00DA7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8A7"/>
    <w:rPr>
      <w:rFonts w:ascii="Courier New" w:hAnsi="Courier New"/>
    </w:rPr>
  </w:style>
  <w:style w:type="paragraph" w:customStyle="1" w:styleId="NoteBullet">
    <w:name w:val="Note Bullet"/>
    <w:basedOn w:val="Note"/>
    <w:rsid w:val="00DA78A7"/>
    <w:pPr>
      <w:tabs>
        <w:tab w:val="clear" w:pos="680"/>
      </w:tabs>
      <w:spacing w:before="60" w:after="60"/>
    </w:pPr>
  </w:style>
  <w:style w:type="paragraph" w:customStyle="1" w:styleId="SubHeading2">
    <w:name w:val="SubHeading2"/>
    <w:basedOn w:val="HeadingBase"/>
    <w:rsid w:val="00DA78A7"/>
    <w:pPr>
      <w:spacing w:before="240" w:after="60"/>
    </w:pPr>
    <w:rPr>
      <w:sz w:val="20"/>
    </w:rPr>
  </w:style>
  <w:style w:type="paragraph" w:customStyle="1" w:styleId="SubHeading1">
    <w:name w:val="SubHeading1"/>
    <w:basedOn w:val="HeadingBase"/>
    <w:rsid w:val="00DA78A7"/>
    <w:pPr>
      <w:spacing w:before="240" w:after="60"/>
    </w:pPr>
    <w:rPr>
      <w:color w:val="918585"/>
      <w:sz w:val="22"/>
    </w:rPr>
  </w:style>
  <w:style w:type="paragraph" w:customStyle="1" w:styleId="SideHeading">
    <w:name w:val="Side Heading"/>
    <w:basedOn w:val="HeadingBase"/>
    <w:rsid w:val="00DA7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8A7"/>
    <w:pPr>
      <w:numPr>
        <w:numId w:val="9"/>
      </w:numPr>
    </w:pPr>
  </w:style>
  <w:style w:type="paragraph" w:styleId="PlainText">
    <w:name w:val="Plain Text"/>
    <w:basedOn w:val="Normal"/>
    <w:link w:val="PlainTextChar"/>
    <w:rsid w:val="00DA78A7"/>
    <w:rPr>
      <w:sz w:val="20"/>
    </w:rPr>
  </w:style>
  <w:style w:type="character" w:customStyle="1" w:styleId="PlainTextChar">
    <w:name w:val="Plain Text Char"/>
    <w:basedOn w:val="DefaultParagraphFont"/>
    <w:link w:val="PlainText"/>
    <w:rsid w:val="00DA78A7"/>
    <w:rPr>
      <w:rFonts w:ascii="Courier New" w:eastAsia="Times New Roman" w:hAnsi="Courier New" w:cs="Times New Roman"/>
      <w:sz w:val="20"/>
      <w:szCs w:val="20"/>
      <w:lang w:eastAsia="en-US"/>
    </w:rPr>
  </w:style>
  <w:style w:type="character" w:customStyle="1" w:styleId="MenuOption">
    <w:name w:val="Menu Option"/>
    <w:basedOn w:val="DefaultParagraphFont"/>
    <w:rsid w:val="00DA78A7"/>
    <w:rPr>
      <w:b/>
      <w:smallCaps/>
    </w:rPr>
  </w:style>
  <w:style w:type="paragraph" w:customStyle="1" w:styleId="TableListNumber">
    <w:name w:val="Table List Number"/>
    <w:basedOn w:val="ListNumber"/>
    <w:rsid w:val="00DA78A7"/>
    <w:pPr>
      <w:numPr>
        <w:numId w:val="0"/>
      </w:numPr>
    </w:pPr>
  </w:style>
  <w:style w:type="paragraph" w:styleId="TOC4">
    <w:name w:val="toc 4"/>
    <w:basedOn w:val="TOCBase"/>
    <w:next w:val="Normal"/>
    <w:semiHidden/>
    <w:rsid w:val="00DA78A7"/>
    <w:pPr>
      <w:tabs>
        <w:tab w:val="right" w:leader="dot" w:pos="9071"/>
      </w:tabs>
      <w:ind w:left="1701"/>
    </w:pPr>
  </w:style>
  <w:style w:type="paragraph" w:customStyle="1" w:styleId="ListAlpha">
    <w:name w:val="List Alpha"/>
    <w:basedOn w:val="List"/>
    <w:rsid w:val="00DA78A7"/>
    <w:pPr>
      <w:numPr>
        <w:numId w:val="7"/>
      </w:numPr>
    </w:pPr>
  </w:style>
  <w:style w:type="paragraph" w:customStyle="1" w:styleId="ListAlpha2">
    <w:name w:val="List Alpha 2"/>
    <w:basedOn w:val="List2"/>
    <w:rsid w:val="00DA78A7"/>
    <w:pPr>
      <w:numPr>
        <w:numId w:val="6"/>
      </w:numPr>
    </w:pPr>
  </w:style>
  <w:style w:type="paragraph" w:styleId="List2">
    <w:name w:val="List 2"/>
    <w:basedOn w:val="BodyText"/>
    <w:rsid w:val="00DA78A7"/>
    <w:pPr>
      <w:tabs>
        <w:tab w:val="left" w:pos="680"/>
      </w:tabs>
      <w:spacing w:before="60" w:after="60"/>
      <w:ind w:left="680" w:hanging="340"/>
    </w:pPr>
  </w:style>
  <w:style w:type="paragraph" w:styleId="List3">
    <w:name w:val="List 3"/>
    <w:basedOn w:val="BodyText"/>
    <w:rsid w:val="00DA78A7"/>
    <w:pPr>
      <w:tabs>
        <w:tab w:val="left" w:pos="1021"/>
      </w:tabs>
      <w:spacing w:before="60" w:after="60"/>
      <w:ind w:left="1020" w:hanging="340"/>
    </w:pPr>
  </w:style>
  <w:style w:type="paragraph" w:styleId="List4">
    <w:name w:val="List 4"/>
    <w:basedOn w:val="BodyText"/>
    <w:rsid w:val="00DA78A7"/>
    <w:pPr>
      <w:tabs>
        <w:tab w:val="left" w:pos="1361"/>
      </w:tabs>
      <w:spacing w:before="60" w:after="60"/>
      <w:ind w:left="1361" w:hanging="340"/>
    </w:pPr>
  </w:style>
  <w:style w:type="paragraph" w:styleId="List5">
    <w:name w:val="List 5"/>
    <w:basedOn w:val="BodyText"/>
    <w:rsid w:val="00DA78A7"/>
    <w:pPr>
      <w:tabs>
        <w:tab w:val="left" w:pos="1701"/>
      </w:tabs>
      <w:spacing w:before="60" w:after="60"/>
      <w:ind w:left="1701" w:hanging="340"/>
    </w:pPr>
  </w:style>
  <w:style w:type="paragraph" w:styleId="ListBullet3">
    <w:name w:val="List Bullet 3"/>
    <w:basedOn w:val="List3"/>
    <w:rsid w:val="00DA78A7"/>
    <w:pPr>
      <w:numPr>
        <w:numId w:val="12"/>
      </w:numPr>
      <w:tabs>
        <w:tab w:val="clear" w:pos="1021"/>
      </w:tabs>
      <w:ind w:left="1037" w:hanging="357"/>
    </w:pPr>
  </w:style>
  <w:style w:type="paragraph" w:styleId="ListBullet4">
    <w:name w:val="List Bullet 4"/>
    <w:basedOn w:val="List4"/>
    <w:rsid w:val="00DA78A7"/>
    <w:pPr>
      <w:numPr>
        <w:numId w:val="1"/>
      </w:numPr>
      <w:tabs>
        <w:tab w:val="clear" w:pos="1361"/>
      </w:tabs>
    </w:pPr>
  </w:style>
  <w:style w:type="paragraph" w:styleId="ListBullet5">
    <w:name w:val="List Bullet 5"/>
    <w:basedOn w:val="List5"/>
    <w:rsid w:val="00DA78A7"/>
    <w:pPr>
      <w:numPr>
        <w:numId w:val="2"/>
      </w:numPr>
    </w:pPr>
  </w:style>
  <w:style w:type="paragraph" w:styleId="ListContinue2">
    <w:name w:val="List Continue 2"/>
    <w:basedOn w:val="List2"/>
    <w:rsid w:val="00DA78A7"/>
    <w:pPr>
      <w:ind w:firstLine="0"/>
    </w:pPr>
  </w:style>
  <w:style w:type="paragraph" w:styleId="ListContinue3">
    <w:name w:val="List Continue 3"/>
    <w:basedOn w:val="List3"/>
    <w:rsid w:val="00DA78A7"/>
    <w:pPr>
      <w:ind w:left="1021" w:firstLine="0"/>
    </w:pPr>
  </w:style>
  <w:style w:type="paragraph" w:styleId="ListContinue4">
    <w:name w:val="List Continue 4"/>
    <w:basedOn w:val="List4"/>
    <w:rsid w:val="00DA78A7"/>
    <w:pPr>
      <w:ind w:firstLine="0"/>
    </w:pPr>
  </w:style>
  <w:style w:type="paragraph" w:styleId="ListContinue5">
    <w:name w:val="List Continue 5"/>
    <w:basedOn w:val="List5"/>
    <w:rsid w:val="00DA78A7"/>
    <w:pPr>
      <w:ind w:firstLine="0"/>
    </w:pPr>
  </w:style>
  <w:style w:type="paragraph" w:styleId="ListNumber3">
    <w:name w:val="List Number 3"/>
    <w:basedOn w:val="List3"/>
    <w:rsid w:val="00DA78A7"/>
    <w:pPr>
      <w:numPr>
        <w:numId w:val="3"/>
      </w:numPr>
    </w:pPr>
  </w:style>
  <w:style w:type="paragraph" w:styleId="ListNumber4">
    <w:name w:val="List Number 4"/>
    <w:basedOn w:val="List4"/>
    <w:rsid w:val="00DA78A7"/>
    <w:pPr>
      <w:numPr>
        <w:numId w:val="4"/>
      </w:numPr>
    </w:pPr>
  </w:style>
  <w:style w:type="paragraph" w:styleId="ListNumber5">
    <w:name w:val="List Number 5"/>
    <w:basedOn w:val="List5"/>
    <w:rsid w:val="00DA78A7"/>
    <w:pPr>
      <w:numPr>
        <w:numId w:val="5"/>
      </w:numPr>
    </w:pPr>
  </w:style>
  <w:style w:type="paragraph" w:styleId="BlockText">
    <w:name w:val="Block Text"/>
    <w:basedOn w:val="Normal"/>
    <w:rsid w:val="00DA78A7"/>
    <w:pPr>
      <w:spacing w:after="120"/>
      <w:ind w:left="1440" w:right="1440"/>
    </w:pPr>
  </w:style>
  <w:style w:type="character" w:customStyle="1" w:styleId="Subscript">
    <w:name w:val="Subscript"/>
    <w:basedOn w:val="DefaultParagraphFont"/>
    <w:rsid w:val="00DA78A7"/>
    <w:rPr>
      <w:sz w:val="16"/>
      <w:vertAlign w:val="subscript"/>
    </w:rPr>
  </w:style>
  <w:style w:type="character" w:customStyle="1" w:styleId="Superscript">
    <w:name w:val="Superscript"/>
    <w:basedOn w:val="DefaultParagraphFont"/>
    <w:rsid w:val="00DA78A7"/>
    <w:rPr>
      <w:sz w:val="16"/>
      <w:vertAlign w:val="superscript"/>
    </w:rPr>
  </w:style>
  <w:style w:type="character" w:customStyle="1" w:styleId="Symbols">
    <w:name w:val="Symbols"/>
    <w:basedOn w:val="DefaultParagraphFont"/>
    <w:rsid w:val="00DA78A7"/>
    <w:rPr>
      <w:rFonts w:ascii="Symbol" w:hAnsi="Symbol"/>
    </w:rPr>
  </w:style>
  <w:style w:type="character" w:customStyle="1" w:styleId="MenuOptions">
    <w:name w:val="Menu Options"/>
    <w:basedOn w:val="DefaultParagraphFont"/>
    <w:rsid w:val="00DA78A7"/>
    <w:rPr>
      <w:rFonts w:ascii="Arial Narrow" w:hAnsi="Arial Narrow"/>
      <w:smallCaps/>
    </w:rPr>
  </w:style>
  <w:style w:type="character" w:customStyle="1" w:styleId="Buttons">
    <w:name w:val="Buttons"/>
    <w:basedOn w:val="DefaultParagraphFont"/>
    <w:rsid w:val="00DA78A7"/>
    <w:rPr>
      <w:b/>
    </w:rPr>
  </w:style>
  <w:style w:type="character" w:customStyle="1" w:styleId="Underlined">
    <w:name w:val="Underlined"/>
    <w:basedOn w:val="DefaultParagraphFont"/>
    <w:rsid w:val="00DA78A7"/>
    <w:rPr>
      <w:u w:val="single"/>
    </w:rPr>
  </w:style>
  <w:style w:type="paragraph" w:customStyle="1" w:styleId="TableBodyTextRight">
    <w:name w:val="Table Body Text Right"/>
    <w:basedOn w:val="TableBodyText"/>
    <w:rsid w:val="00DA78A7"/>
    <w:pPr>
      <w:widowControl w:val="0"/>
      <w:autoSpaceDE w:val="0"/>
      <w:autoSpaceDN w:val="0"/>
      <w:adjustRightInd w:val="0"/>
      <w:jc w:val="right"/>
    </w:pPr>
    <w:rPr>
      <w:rFonts w:cs="Arial"/>
      <w:szCs w:val="18"/>
    </w:rPr>
  </w:style>
  <w:style w:type="paragraph" w:customStyle="1" w:styleId="CopyrightText">
    <w:name w:val="Copyright Text"/>
    <w:basedOn w:val="BodyText"/>
    <w:rsid w:val="00DA78A7"/>
    <w:rPr>
      <w:sz w:val="18"/>
    </w:rPr>
  </w:style>
  <w:style w:type="paragraph" w:customStyle="1" w:styleId="BodySmallRight">
    <w:name w:val="Body Small Right"/>
    <w:basedOn w:val="BodyTextRight"/>
    <w:rsid w:val="00DA78A7"/>
    <w:rPr>
      <w:sz w:val="18"/>
      <w:szCs w:val="18"/>
    </w:rPr>
  </w:style>
  <w:style w:type="paragraph" w:customStyle="1" w:styleId="MarginEdition">
    <w:name w:val="Margin Edition"/>
    <w:basedOn w:val="MarginNote"/>
    <w:rsid w:val="00DA78A7"/>
    <w:pPr>
      <w:spacing w:before="0" w:after="0"/>
    </w:pPr>
    <w:rPr>
      <w:rFonts w:ascii="Times New Roman" w:hAnsi="Times New Roman"/>
      <w:color w:val="999999"/>
    </w:rPr>
  </w:style>
  <w:style w:type="paragraph" w:customStyle="1" w:styleId="Spacer">
    <w:name w:val="Spacer"/>
    <w:basedOn w:val="Normal"/>
    <w:rsid w:val="00DA78A7"/>
    <w:rPr>
      <w:sz w:val="2"/>
      <w:szCs w:val="2"/>
    </w:rPr>
  </w:style>
  <w:style w:type="character" w:customStyle="1" w:styleId="Small">
    <w:name w:val="Small"/>
    <w:basedOn w:val="DefaultParagraphFont"/>
    <w:rsid w:val="00DA78A7"/>
    <w:rPr>
      <w:sz w:val="16"/>
    </w:rPr>
  </w:style>
  <w:style w:type="paragraph" w:customStyle="1" w:styleId="WideTable">
    <w:name w:val="Wide Table"/>
    <w:basedOn w:val="Normal"/>
    <w:rsid w:val="00DA78A7"/>
    <w:pPr>
      <w:ind w:left="-1418"/>
    </w:pPr>
    <w:rPr>
      <w:sz w:val="2"/>
      <w:szCs w:val="2"/>
    </w:rPr>
  </w:style>
  <w:style w:type="character" w:styleId="PageNumber">
    <w:name w:val="page number"/>
    <w:basedOn w:val="DefaultParagraphFont"/>
    <w:rsid w:val="00DA78A7"/>
  </w:style>
  <w:style w:type="paragraph" w:styleId="Quote">
    <w:name w:val="Quote"/>
    <w:basedOn w:val="Heading1"/>
    <w:link w:val="QuoteChar"/>
    <w:qFormat/>
    <w:rsid w:val="00DA78A7"/>
    <w:rPr>
      <w:b w:val="0"/>
      <w:sz w:val="72"/>
      <w:szCs w:val="72"/>
      <w:lang w:val="en-NZ"/>
    </w:rPr>
  </w:style>
  <w:style w:type="character" w:customStyle="1" w:styleId="QuoteChar">
    <w:name w:val="Quote Char"/>
    <w:basedOn w:val="DefaultParagraphFont"/>
    <w:link w:val="Quote"/>
    <w:rsid w:val="00DA7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8A7"/>
    <w:pPr>
      <w:pageBreakBefore/>
    </w:pPr>
  </w:style>
  <w:style w:type="paragraph" w:customStyle="1" w:styleId="Border">
    <w:name w:val="Border"/>
    <w:basedOn w:val="Normal"/>
    <w:qFormat/>
    <w:rsid w:val="00DA7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8A7"/>
    <w:rPr>
      <w:b/>
      <w:bCs/>
      <w:i/>
      <w:iCs/>
      <w:color w:val="auto"/>
    </w:rPr>
  </w:style>
  <w:style w:type="paragraph" w:styleId="IntenseQuote">
    <w:name w:val="Intense Quote"/>
    <w:basedOn w:val="Normal"/>
    <w:next w:val="Normal"/>
    <w:link w:val="IntenseQuoteChar"/>
    <w:uiPriority w:val="30"/>
    <w:qFormat/>
    <w:rsid w:val="00DA7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8A7"/>
    <w:rPr>
      <w:smallCaps/>
      <w:color w:val="auto"/>
      <w:u w:val="single"/>
    </w:rPr>
  </w:style>
  <w:style w:type="character" w:styleId="IntenseReference">
    <w:name w:val="Intense Reference"/>
    <w:basedOn w:val="DefaultParagraphFont"/>
    <w:uiPriority w:val="32"/>
    <w:qFormat/>
    <w:rsid w:val="00DA78A7"/>
    <w:rPr>
      <w:b/>
      <w:bCs/>
      <w:smallCaps/>
      <w:color w:val="auto"/>
      <w:spacing w:val="5"/>
      <w:u w:val="single"/>
    </w:rPr>
  </w:style>
  <w:style w:type="paragraph" w:customStyle="1" w:styleId="2ColumnHeading">
    <w:name w:val="2Column Heading"/>
    <w:basedOn w:val="BodyText"/>
    <w:qFormat/>
    <w:rsid w:val="00DA78A7"/>
    <w:pPr>
      <w:spacing w:after="60"/>
      <w:ind w:left="-2268"/>
    </w:pPr>
    <w:rPr>
      <w:b/>
    </w:rPr>
  </w:style>
  <w:style w:type="paragraph" w:customStyle="1" w:styleId="Heading1TOC">
    <w:name w:val="Heading1 TOC"/>
    <w:basedOn w:val="Normal"/>
    <w:qFormat/>
    <w:rsid w:val="00DA78A7"/>
    <w:pPr>
      <w:spacing w:before="240" w:after="120"/>
    </w:pPr>
    <w:rPr>
      <w:rFonts w:ascii="Times New Roman" w:hAnsi="Times New Roman"/>
      <w:b/>
      <w:sz w:val="32"/>
    </w:rPr>
  </w:style>
  <w:style w:type="paragraph" w:customStyle="1" w:styleId="Heading2TOC">
    <w:name w:val="Heading2 TOC"/>
    <w:basedOn w:val="Normal"/>
    <w:qFormat/>
    <w:rsid w:val="00DA78A7"/>
    <w:pPr>
      <w:spacing w:before="240" w:after="60"/>
    </w:pPr>
    <w:rPr>
      <w:rFonts w:ascii="Times New Roman" w:hAnsi="Times New Roman"/>
      <w:b/>
      <w:sz w:val="28"/>
    </w:rPr>
  </w:style>
  <w:style w:type="character" w:customStyle="1" w:styleId="Underline">
    <w:name w:val="Underline"/>
    <w:basedOn w:val="DefaultParagraphFont"/>
    <w:qFormat/>
    <w:rsid w:val="00DA78A7"/>
    <w:rPr>
      <w:u w:val="single"/>
    </w:rPr>
  </w:style>
  <w:style w:type="character" w:customStyle="1" w:styleId="BoldandItalics">
    <w:name w:val="Bold and Italics"/>
    <w:qFormat/>
    <w:rsid w:val="00DA78A7"/>
    <w:rPr>
      <w:b/>
      <w:i/>
      <w:u w:val="none"/>
    </w:rPr>
  </w:style>
  <w:style w:type="paragraph" w:styleId="BalloonText">
    <w:name w:val="Balloon Text"/>
    <w:basedOn w:val="Normal"/>
    <w:link w:val="BalloonTextChar"/>
    <w:rsid w:val="00DA78A7"/>
    <w:rPr>
      <w:rFonts w:ascii="Tahoma" w:hAnsi="Tahoma" w:cs="Tahoma"/>
      <w:sz w:val="16"/>
      <w:szCs w:val="16"/>
    </w:rPr>
  </w:style>
  <w:style w:type="character" w:customStyle="1" w:styleId="BalloonTextChar">
    <w:name w:val="Balloon Text Char"/>
    <w:basedOn w:val="DefaultParagraphFont"/>
    <w:link w:val="BalloonText"/>
    <w:rsid w:val="00DA7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8A7"/>
    <w:rPr>
      <w:b/>
      <w:color w:val="660033"/>
      <w:spacing w:val="0"/>
    </w:rPr>
  </w:style>
  <w:style w:type="paragraph" w:customStyle="1" w:styleId="Nameditemlist">
    <w:name w:val="Named item list"/>
    <w:basedOn w:val="BodyText"/>
    <w:qFormat/>
    <w:rsid w:val="00DA78A7"/>
    <w:pPr>
      <w:tabs>
        <w:tab w:val="left" w:pos="2835"/>
      </w:tabs>
      <w:ind w:left="2835" w:hanging="2835"/>
    </w:pPr>
  </w:style>
  <w:style w:type="paragraph" w:customStyle="1" w:styleId="BodyTextnopadding">
    <w:name w:val="Body Text no padding"/>
    <w:basedOn w:val="BodyText"/>
    <w:qFormat/>
    <w:rsid w:val="00DA78A7"/>
    <w:pPr>
      <w:spacing w:before="0" w:after="0"/>
    </w:pPr>
  </w:style>
  <w:style w:type="paragraph" w:customStyle="1" w:styleId="BodyTextBold">
    <w:name w:val="Body Text Bold"/>
    <w:basedOn w:val="BodyText"/>
    <w:qFormat/>
    <w:rsid w:val="00DA78A7"/>
    <w:rPr>
      <w:b/>
    </w:rPr>
  </w:style>
  <w:style w:type="character" w:styleId="Hyperlink">
    <w:name w:val="Hyperlink"/>
    <w:basedOn w:val="DefaultParagraphFont"/>
    <w:uiPriority w:val="99"/>
    <w:unhideWhenUsed/>
    <w:rsid w:val="00D064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3167</Characters>
  <Application>Microsoft Office Word</Application>
  <DocSecurity>0</DocSecurity>
  <Lines>117</Lines>
  <Paragraphs>65</Paragraphs>
  <ScaleCrop>false</ScaleCrop>
  <Company>Author-it Software Corporation Ltd.</Company>
  <LinksUpToDate>false</LinksUpToDate>
  <CharactersWithSpaces>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TLIX4034 Apply technical risk management systems and techniques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2022-10-25T05:54:00Z</dcterms:created>
  <dcterms:modified xsi:type="dcterms:W3CDTF">2022-10-25T05:54:00Z</dcterms:modified>
</cp:coreProperties>
</file>