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28AB" w:rsidP="00E328AB">
      <w:pPr>
        <w:pStyle w:val="Title"/>
      </w:pPr>
      <w:r>
        <w:fldChar w:fldCharType="begin"/>
      </w:r>
      <w:r>
        <w:instrText xml:space="preserve"> TITLE   \* MERGEFORMAT </w:instrText>
      </w:r>
      <w:r>
        <w:fldChar w:fldCharType="separate"/>
      </w:r>
      <w:r>
        <w:t>TLIX4034 Apply technical risk management systems and techniques</w:t>
      </w:r>
      <w:r>
        <w:fldChar w:fldCharType="end"/>
      </w:r>
    </w:p>
    <w:p w:rsidR="00E328AB" w:rsidP="00E328AB">
      <w:pPr>
        <w:pStyle w:val="Version"/>
        <w:sectPr w:rsidSect="003D2FF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D2FF6" w:rsidP="003D2FF6">
      <w:pPr>
        <w:pStyle w:val="SuperHeading"/>
      </w:pPr>
      <w:r w:rsidRPr="003D2FF6">
        <w:t>TLIX4034 Apply technical risk management systems and techniques</w:t>
      </w:r>
    </w:p>
    <w:p w:rsidR="00000000" w:rsidRPr="003D2FF6" w:rsidP="003D2FF6">
      <w:pPr>
        <w:pStyle w:val="Heading1"/>
      </w:pPr>
      <w:bookmarkStart w:id="1" w:name="O_754753"/>
      <w:bookmarkEnd w:id="1"/>
      <w:r w:rsidRPr="003D2FF6">
        <w:t>Modification History</w:t>
      </w:r>
    </w:p>
    <w:p w:rsidR="00E328AB" w:rsidP="00E328AB">
      <w:pPr>
        <w:pStyle w:val="BodyText"/>
      </w:pPr>
      <w:r w:rsidRPr="003D2FF6">
        <w:t>Release 1. This is the first release of this unit of competency in the TLI Transport and Logistics Training Package.</w:t>
      </w:r>
    </w:p>
    <w:p w:rsidR="00000000" w:rsidRPr="003D2FF6" w:rsidP="003D2FF6">
      <w:pPr>
        <w:pStyle w:val="Heading1"/>
      </w:pPr>
      <w:bookmarkStart w:id="2" w:name="O_754754"/>
      <w:bookmarkEnd w:id="2"/>
      <w:r w:rsidRPr="003D2FF6">
        <w:t>Application</w:t>
      </w:r>
    </w:p>
    <w:tbl>
      <w:tblPr>
        <w:tblW w:w="0" w:type="auto"/>
        <w:tblCellMar>
          <w:left w:w="62" w:type="dxa"/>
          <w:right w:w="62" w:type="dxa"/>
        </w:tblCellMar>
        <w:tblLook w:val="0000"/>
      </w:tblPr>
      <w:tblGrid>
        <w:gridCol w:w="9196"/>
      </w:tblGrid>
      <w:tr w:rsidTr="00E328A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D2FF6" w:rsidP="003D2FF6">
            <w:pPr>
              <w:pStyle w:val="BodyText"/>
            </w:pPr>
            <w:r w:rsidRPr="003D2FF6">
              <w:t>This unit involves the skills and knowledge required to assist with aspects of risk management in relation to the technical integrity of an organisation’s materiel. It specifically involves assisting in assessing, controlling and reviewing risks associated</w:t>
            </w:r>
            <w:r w:rsidRPr="003D2FF6">
              <w:t xml:space="preserve"> with the organisation’s materiel. </w:t>
            </w:r>
          </w:p>
          <w:p w:rsidR="00000000" w:rsidRPr="003D2FF6" w:rsidP="003D2FF6">
            <w:pPr>
              <w:pStyle w:val="BodyText"/>
            </w:pPr>
            <w:r w:rsidRPr="003D2FF6">
              <w:t>This unit was developed for technical regulatory framework specialists working within materiel logistics but is applicable to individuals in broader logistics roles.</w:t>
            </w:r>
          </w:p>
          <w:p w:rsidR="00000000" w:rsidRPr="003D2FF6" w:rsidP="003D2FF6">
            <w:pPr>
              <w:pStyle w:val="BodyText"/>
            </w:pPr>
            <w:r w:rsidRPr="003D2FF6">
              <w:t>Typically these individuals work independently or as p</w:t>
            </w:r>
            <w:r w:rsidRPr="003D2FF6">
              <w:t>art of a team under direct and/or indirect supervision, use discretion and judgement, and take responsibility for the quality of their outputs. All activities are carried out in accordance with relevant organisational policy and procedures.</w:t>
            </w:r>
          </w:p>
          <w:p w:rsidR="00000000" w:rsidRPr="003D2FF6" w:rsidP="003D2FF6">
            <w:pPr>
              <w:pStyle w:val="BodyText"/>
            </w:pPr>
            <w:r w:rsidRPr="003D2FF6">
              <w:t>No licensing, l</w:t>
            </w:r>
            <w:r w:rsidRPr="003D2FF6">
              <w:t>egislative or certification requirements apply to this unit at the time of publication.</w:t>
            </w:r>
          </w:p>
        </w:tc>
      </w:tr>
    </w:tbl>
    <w:p w:rsidR="00E328AB" w:rsidP="003D2FF6">
      <w:pPr>
        <w:pStyle w:val="BodyText"/>
      </w:pPr>
    </w:p>
    <w:p w:rsidR="00E328AB" w:rsidP="003D2FF6">
      <w:pPr>
        <w:pStyle w:val="BodyText"/>
      </w:pPr>
    </w:p>
    <w:p w:rsidR="00000000" w:rsidRPr="003D2FF6" w:rsidP="003D2FF6">
      <w:pPr>
        <w:pStyle w:val="Heading1"/>
      </w:pPr>
      <w:bookmarkStart w:id="3" w:name="O_754755"/>
      <w:bookmarkEnd w:id="3"/>
      <w:r w:rsidRPr="003D2FF6">
        <w:t>Pre-requisite Unit</w:t>
      </w:r>
    </w:p>
    <w:p w:rsidR="00E328AB" w:rsidP="00E328AB">
      <w:pPr>
        <w:pStyle w:val="BodyText"/>
      </w:pPr>
      <w:r w:rsidRPr="003D2FF6">
        <w:t>Not applicable.</w:t>
      </w:r>
    </w:p>
    <w:p w:rsidR="00000000" w:rsidRPr="003D2FF6" w:rsidP="003D2FF6">
      <w:pPr>
        <w:pStyle w:val="Heading1"/>
      </w:pPr>
      <w:bookmarkStart w:id="4" w:name="O_754756"/>
      <w:bookmarkEnd w:id="4"/>
      <w:r w:rsidRPr="003D2FF6">
        <w:t>Competency Field</w:t>
      </w:r>
    </w:p>
    <w:p w:rsidR="00E328AB" w:rsidP="00E328AB">
      <w:pPr>
        <w:pStyle w:val="BodyText"/>
      </w:pPr>
      <w:r w:rsidRPr="003D2FF6">
        <w:t>X – Logistics</w:t>
      </w:r>
    </w:p>
    <w:p w:rsidR="00000000" w:rsidRPr="003D2FF6" w:rsidP="003D2FF6">
      <w:pPr>
        <w:pStyle w:val="Heading1"/>
      </w:pPr>
      <w:bookmarkStart w:id="5" w:name="O_754757"/>
      <w:bookmarkEnd w:id="5"/>
      <w:r w:rsidRPr="003D2FF6">
        <w:t>Unit Sector</w:t>
      </w:r>
    </w:p>
    <w:p w:rsidR="00E328AB" w:rsidP="00E328AB">
      <w:pPr>
        <w:pStyle w:val="BodyText"/>
      </w:pPr>
      <w:r w:rsidRPr="003D2FF6">
        <w:t>Not applicable.</w:t>
      </w:r>
    </w:p>
    <w:p w:rsidR="00000000" w:rsidRPr="003D2FF6" w:rsidP="003D2FF6">
      <w:pPr>
        <w:pStyle w:val="Heading1"/>
      </w:pPr>
      <w:bookmarkStart w:id="6" w:name="O_754758"/>
      <w:bookmarkEnd w:id="6"/>
      <w:r w:rsidRPr="003D2FF6">
        <w:t>Elements and Performance Criteria</w:t>
      </w:r>
    </w:p>
    <w:tbl>
      <w:tblPr>
        <w:tblW w:w="0" w:type="auto"/>
        <w:tblCellMar>
          <w:left w:w="62" w:type="dxa"/>
          <w:right w:w="62" w:type="dxa"/>
        </w:tblCellMar>
        <w:tblLook w:val="0000"/>
      </w:tblPr>
      <w:tblGrid>
        <w:gridCol w:w="332"/>
        <w:gridCol w:w="1769"/>
        <w:gridCol w:w="552"/>
        <w:gridCol w:w="6543"/>
      </w:tblGrid>
      <w:tr w:rsidTr="00E328A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3D2FF6">
            <w:pPr>
              <w:pStyle w:val="BodyText"/>
              <w:rPr>
                <w:lang w:val="en-NZ"/>
              </w:rPr>
            </w:pPr>
            <w:r w:rsidRPr="003D2FF6">
              <w:t xml:space="preserve">Elements describe the </w:t>
            </w:r>
            <w:r w:rsidRPr="003D2FF6">
              <w:t>essential outcomes.</w:t>
            </w:r>
          </w:p>
        </w:tc>
        <w:tc>
          <w:tcPr>
            <w:tcW w:w="0" w:type="auto"/>
            <w:gridSpan w:val="2"/>
            <w:tcBorders>
              <w:top w:val="nil"/>
              <w:left w:val="nil"/>
              <w:bottom w:val="nil"/>
              <w:right w:val="nil"/>
            </w:tcBorders>
            <w:tcMar>
              <w:top w:w="0" w:type="dxa"/>
              <w:left w:w="62" w:type="dxa"/>
              <w:bottom w:w="0" w:type="dxa"/>
              <w:right w:w="62" w:type="dxa"/>
            </w:tcMar>
          </w:tcPr>
          <w:p w:rsidR="00000000" w:rsidP="003D2FF6">
            <w:pPr>
              <w:pStyle w:val="BodyText"/>
              <w:rPr>
                <w:lang w:val="en-NZ"/>
              </w:rPr>
            </w:pPr>
            <w:r w:rsidRPr="003D2FF6">
              <w:t xml:space="preserve">Performance criteria describe the performance needed to demonstrate achievement of the </w:t>
            </w:r>
            <w:r w:rsidRPr="003D2FF6">
              <w:t>element.</w:t>
            </w:r>
          </w:p>
        </w:tc>
      </w:tr>
      <w:tr w:rsidTr="00E328AB">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3D2FF6" w:rsidP="003D2FF6">
            <w:pPr>
              <w:pStyle w:val="BodyText"/>
            </w:pPr>
            <w:r w:rsidRPr="003D2FF6">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3D2FF6">
            <w:pPr>
              <w:pStyle w:val="BodyText"/>
              <w:rPr>
                <w:lang w:val="en-NZ"/>
              </w:rPr>
            </w:pPr>
            <w:r w:rsidRPr="003D2FF6">
              <w:rPr>
                <w:rStyle w:val="SpecialBold"/>
              </w:rPr>
              <w:t>Assist with risk assessment</w:t>
            </w:r>
          </w:p>
        </w:tc>
        <w:tc>
          <w:tcPr>
            <w:tcW w:w="0" w:type="auto"/>
            <w:tcBorders>
              <w:top w:val="nil"/>
              <w:left w:val="nil"/>
              <w:bottom w:val="nil"/>
              <w:right w:val="nil"/>
            </w:tcBorders>
            <w:tcMar>
              <w:top w:w="0" w:type="dxa"/>
              <w:left w:w="62" w:type="dxa"/>
              <w:bottom w:w="0" w:type="dxa"/>
              <w:right w:w="62" w:type="dxa"/>
            </w:tcMar>
          </w:tcPr>
          <w:p w:rsidR="00000000" w:rsidP="003D2FF6">
            <w:pPr>
              <w:pStyle w:val="BodyText"/>
              <w:rPr>
                <w:lang w:val="en-NZ"/>
              </w:rPr>
            </w:pPr>
            <w:r w:rsidRPr="003D2FF6">
              <w:t>1.1</w:t>
            </w:r>
          </w:p>
        </w:tc>
        <w:tc>
          <w:tcPr>
            <w:tcW w:w="0" w:type="auto"/>
            <w:tcBorders>
              <w:top w:val="nil"/>
              <w:left w:val="nil"/>
              <w:bottom w:val="nil"/>
              <w:right w:val="nil"/>
            </w:tcBorders>
            <w:tcMar>
              <w:top w:w="0" w:type="dxa"/>
              <w:left w:w="62" w:type="dxa"/>
              <w:bottom w:w="0" w:type="dxa"/>
              <w:right w:w="62" w:type="dxa"/>
            </w:tcMar>
          </w:tcPr>
          <w:p w:rsidR="00000000" w:rsidP="003D2FF6">
            <w:pPr>
              <w:pStyle w:val="BodyText"/>
              <w:rPr>
                <w:lang w:val="en-NZ"/>
              </w:rPr>
            </w:pPr>
            <w:r w:rsidRPr="003D2FF6">
              <w:t>Contribution is made to identify, analyse, eval</w:t>
            </w:r>
            <w:r w:rsidRPr="003D2FF6">
              <w:t>uate and prioritise risks to technical integrity of the organisation’s materiel</w:t>
            </w:r>
          </w:p>
        </w:tc>
      </w:tr>
      <w:tr w:rsidTr="00E328A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D2FF6">
            <w:pPr>
              <w:pStyle w:val="BodyText"/>
              <w:rPr>
                <w:lang w:val="en-NZ"/>
              </w:rPr>
            </w:pPr>
            <w:r w:rsidRPr="003D2FF6">
              <w:t>1.2</w:t>
            </w:r>
          </w:p>
        </w:tc>
        <w:tc>
          <w:tcPr>
            <w:tcW w:w="0" w:type="auto"/>
            <w:tcBorders>
              <w:top w:val="nil"/>
              <w:left w:val="nil"/>
              <w:bottom w:val="nil"/>
              <w:right w:val="nil"/>
            </w:tcBorders>
            <w:tcMar>
              <w:top w:w="0" w:type="dxa"/>
              <w:left w:w="62" w:type="dxa"/>
              <w:bottom w:w="0" w:type="dxa"/>
              <w:right w:w="62" w:type="dxa"/>
            </w:tcMar>
          </w:tcPr>
          <w:p w:rsidR="00000000" w:rsidP="003D2FF6">
            <w:pPr>
              <w:pStyle w:val="BodyText"/>
              <w:rPr>
                <w:lang w:val="en-NZ"/>
              </w:rPr>
            </w:pPr>
            <w:r w:rsidRPr="003D2FF6">
              <w:t>Within delegated technical/engineering authority, input is provided to develop risk management strategies and risk management plans within established guidelines</w:t>
            </w:r>
          </w:p>
        </w:tc>
      </w:tr>
      <w:tr w:rsidTr="00E328A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D2FF6">
            <w:pPr>
              <w:pStyle w:val="BodyText"/>
              <w:rPr>
                <w:lang w:val="en-NZ"/>
              </w:rPr>
            </w:pPr>
            <w:r w:rsidRPr="003D2FF6">
              <w:t>1.3</w:t>
            </w:r>
          </w:p>
        </w:tc>
        <w:tc>
          <w:tcPr>
            <w:tcW w:w="0" w:type="auto"/>
            <w:tcBorders>
              <w:top w:val="nil"/>
              <w:left w:val="nil"/>
              <w:bottom w:val="nil"/>
              <w:right w:val="nil"/>
            </w:tcBorders>
            <w:tcMar>
              <w:top w:w="0" w:type="dxa"/>
              <w:left w:w="62" w:type="dxa"/>
              <w:bottom w:w="0" w:type="dxa"/>
              <w:right w:w="62" w:type="dxa"/>
            </w:tcMar>
          </w:tcPr>
          <w:p w:rsidR="00000000" w:rsidP="003D2FF6">
            <w:pPr>
              <w:pStyle w:val="BodyText"/>
              <w:rPr>
                <w:lang w:val="en-NZ"/>
              </w:rPr>
            </w:pPr>
            <w:r w:rsidRPr="003D2FF6">
              <w:t>Established risk analysis methods, techniques and tools are used to assist in assessing risks in accordance with organisational plans</w:t>
            </w:r>
          </w:p>
        </w:tc>
      </w:tr>
      <w:tr w:rsidTr="00E328A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D2FF6">
            <w:pPr>
              <w:pStyle w:val="BodyText"/>
              <w:rPr>
                <w:lang w:val="en-NZ"/>
              </w:rPr>
            </w:pPr>
            <w:r w:rsidRPr="003D2FF6">
              <w:t>1.4</w:t>
            </w:r>
          </w:p>
        </w:tc>
        <w:tc>
          <w:tcPr>
            <w:tcW w:w="0" w:type="auto"/>
            <w:tcBorders>
              <w:top w:val="nil"/>
              <w:left w:val="nil"/>
              <w:bottom w:val="nil"/>
              <w:right w:val="nil"/>
            </w:tcBorders>
            <w:tcMar>
              <w:top w:w="0" w:type="dxa"/>
              <w:left w:w="62" w:type="dxa"/>
              <w:bottom w:w="0" w:type="dxa"/>
              <w:right w:w="62" w:type="dxa"/>
            </w:tcMar>
          </w:tcPr>
          <w:p w:rsidR="00000000" w:rsidP="003D2FF6">
            <w:pPr>
              <w:pStyle w:val="BodyText"/>
              <w:rPr>
                <w:lang w:val="en-NZ"/>
              </w:rPr>
            </w:pPr>
            <w:r w:rsidRPr="003D2FF6">
              <w:t>Reporting mechanisms for risks to technical integrity are incorporated, in accordance with organisational plans</w:t>
            </w:r>
          </w:p>
        </w:tc>
      </w:tr>
      <w:tr w:rsidTr="00E328AB">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3D2FF6" w:rsidP="003D2FF6">
            <w:pPr>
              <w:pStyle w:val="BodyText"/>
            </w:pPr>
            <w:r w:rsidRPr="003D2FF6">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3D2FF6">
            <w:pPr>
              <w:pStyle w:val="BodyText"/>
              <w:rPr>
                <w:lang w:val="en-NZ"/>
              </w:rPr>
            </w:pPr>
            <w:r w:rsidRPr="003D2FF6">
              <w:rPr>
                <w:rStyle w:val="SpecialBold"/>
              </w:rPr>
              <w:t>Conduct risk control activities</w:t>
            </w:r>
          </w:p>
        </w:tc>
        <w:tc>
          <w:tcPr>
            <w:tcW w:w="0" w:type="auto"/>
            <w:tcBorders>
              <w:top w:val="nil"/>
              <w:left w:val="nil"/>
              <w:bottom w:val="nil"/>
              <w:right w:val="nil"/>
            </w:tcBorders>
            <w:tcMar>
              <w:top w:w="0" w:type="dxa"/>
              <w:left w:w="62" w:type="dxa"/>
              <w:bottom w:w="0" w:type="dxa"/>
              <w:right w:w="62" w:type="dxa"/>
            </w:tcMar>
          </w:tcPr>
          <w:p w:rsidR="00000000" w:rsidP="003D2FF6">
            <w:pPr>
              <w:pStyle w:val="BodyText"/>
              <w:rPr>
                <w:lang w:val="en-NZ"/>
              </w:rPr>
            </w:pPr>
            <w:r w:rsidRPr="003D2FF6">
              <w:t>2.1</w:t>
            </w:r>
          </w:p>
        </w:tc>
        <w:tc>
          <w:tcPr>
            <w:tcW w:w="0" w:type="auto"/>
            <w:tcBorders>
              <w:top w:val="nil"/>
              <w:left w:val="nil"/>
              <w:bottom w:val="nil"/>
              <w:right w:val="nil"/>
            </w:tcBorders>
            <w:tcMar>
              <w:top w:w="0" w:type="dxa"/>
              <w:left w:w="62" w:type="dxa"/>
              <w:bottom w:w="0" w:type="dxa"/>
              <w:right w:w="62" w:type="dxa"/>
            </w:tcMar>
          </w:tcPr>
          <w:p w:rsidR="00000000" w:rsidP="003D2FF6">
            <w:pPr>
              <w:pStyle w:val="BodyText"/>
              <w:rPr>
                <w:lang w:val="en-NZ"/>
              </w:rPr>
            </w:pPr>
            <w:r w:rsidRPr="003D2FF6">
              <w:t>Risk control activities are undertaken in accordance with organisational plans</w:t>
            </w:r>
          </w:p>
        </w:tc>
      </w:tr>
      <w:tr w:rsidTr="00E328A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D2FF6">
            <w:pPr>
              <w:pStyle w:val="BodyText"/>
              <w:rPr>
                <w:lang w:val="en-NZ"/>
              </w:rPr>
            </w:pPr>
            <w:r w:rsidRPr="003D2FF6">
              <w:t>2.2</w:t>
            </w:r>
          </w:p>
        </w:tc>
        <w:tc>
          <w:tcPr>
            <w:tcW w:w="0" w:type="auto"/>
            <w:tcBorders>
              <w:top w:val="nil"/>
              <w:left w:val="nil"/>
              <w:bottom w:val="nil"/>
              <w:right w:val="nil"/>
            </w:tcBorders>
            <w:tcMar>
              <w:top w:w="0" w:type="dxa"/>
              <w:left w:w="62" w:type="dxa"/>
              <w:bottom w:w="0" w:type="dxa"/>
              <w:right w:w="62" w:type="dxa"/>
            </w:tcMar>
          </w:tcPr>
          <w:p w:rsidR="00000000" w:rsidP="003D2FF6">
            <w:pPr>
              <w:pStyle w:val="BodyText"/>
              <w:rPr>
                <w:lang w:val="en-NZ"/>
              </w:rPr>
            </w:pPr>
            <w:r w:rsidRPr="003D2FF6">
              <w:t>Risks to technical integrity are acted on within technical/engineering authority or reported to others for response</w:t>
            </w:r>
          </w:p>
        </w:tc>
      </w:tr>
      <w:tr w:rsidTr="00E328A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D2FF6">
            <w:pPr>
              <w:pStyle w:val="BodyText"/>
              <w:rPr>
                <w:lang w:val="en-NZ"/>
              </w:rPr>
            </w:pPr>
            <w:r w:rsidRPr="003D2FF6">
              <w:t>2.3</w:t>
            </w:r>
          </w:p>
        </w:tc>
        <w:tc>
          <w:tcPr>
            <w:tcW w:w="0" w:type="auto"/>
            <w:tcBorders>
              <w:top w:val="nil"/>
              <w:left w:val="nil"/>
              <w:bottom w:val="nil"/>
              <w:right w:val="nil"/>
            </w:tcBorders>
            <w:tcMar>
              <w:top w:w="0" w:type="dxa"/>
              <w:left w:w="62" w:type="dxa"/>
              <w:bottom w:w="0" w:type="dxa"/>
              <w:right w:w="62" w:type="dxa"/>
            </w:tcMar>
          </w:tcPr>
          <w:p w:rsidR="00000000" w:rsidP="003D2FF6">
            <w:pPr>
              <w:pStyle w:val="BodyText"/>
              <w:rPr>
                <w:lang w:val="en-NZ"/>
              </w:rPr>
            </w:pPr>
            <w:r w:rsidRPr="003D2FF6">
              <w:t>Contribution is made to implementing agreed risk approaches and amending plans to reflect changing context</w:t>
            </w:r>
          </w:p>
        </w:tc>
      </w:tr>
      <w:tr w:rsidTr="00E328A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D2FF6">
            <w:pPr>
              <w:pStyle w:val="BodyText"/>
              <w:rPr>
                <w:lang w:val="en-NZ"/>
              </w:rPr>
            </w:pPr>
            <w:r w:rsidRPr="003D2FF6">
              <w:t>2.4</w:t>
            </w:r>
          </w:p>
        </w:tc>
        <w:tc>
          <w:tcPr>
            <w:tcW w:w="0" w:type="auto"/>
            <w:tcBorders>
              <w:top w:val="nil"/>
              <w:left w:val="nil"/>
              <w:bottom w:val="nil"/>
              <w:right w:val="nil"/>
            </w:tcBorders>
            <w:tcMar>
              <w:top w:w="0" w:type="dxa"/>
              <w:left w:w="62" w:type="dxa"/>
              <w:bottom w:w="0" w:type="dxa"/>
              <w:right w:w="62" w:type="dxa"/>
            </w:tcMar>
          </w:tcPr>
          <w:p w:rsidR="00000000" w:rsidP="003D2FF6">
            <w:pPr>
              <w:pStyle w:val="BodyText"/>
              <w:rPr>
                <w:lang w:val="en-NZ"/>
              </w:rPr>
            </w:pPr>
            <w:r w:rsidRPr="003D2FF6">
              <w:t>Opportunities are identified and reported for action in the same way as risks</w:t>
            </w:r>
          </w:p>
        </w:tc>
      </w:tr>
      <w:tr w:rsidTr="00E328AB">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3D2FF6" w:rsidP="003D2FF6">
            <w:pPr>
              <w:pStyle w:val="BodyText"/>
            </w:pPr>
            <w:r w:rsidRPr="003D2FF6">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3D2FF6">
            <w:pPr>
              <w:pStyle w:val="BodyText"/>
              <w:rPr>
                <w:lang w:val="en-NZ"/>
              </w:rPr>
            </w:pPr>
            <w:r w:rsidRPr="003D2FF6">
              <w:rPr>
                <w:rStyle w:val="SpecialBold"/>
              </w:rPr>
              <w:t>Contribute to assessing risk management outcomes</w:t>
            </w:r>
          </w:p>
        </w:tc>
        <w:tc>
          <w:tcPr>
            <w:tcW w:w="0" w:type="auto"/>
            <w:tcBorders>
              <w:top w:val="nil"/>
              <w:left w:val="nil"/>
              <w:bottom w:val="nil"/>
              <w:right w:val="nil"/>
            </w:tcBorders>
            <w:tcMar>
              <w:top w:w="0" w:type="dxa"/>
              <w:left w:w="62" w:type="dxa"/>
              <w:bottom w:w="0" w:type="dxa"/>
              <w:right w:w="62" w:type="dxa"/>
            </w:tcMar>
          </w:tcPr>
          <w:p w:rsidR="00000000" w:rsidP="003D2FF6">
            <w:pPr>
              <w:pStyle w:val="BodyText"/>
              <w:rPr>
                <w:lang w:val="en-NZ"/>
              </w:rPr>
            </w:pPr>
            <w:r w:rsidRPr="003D2FF6">
              <w:t>3.1</w:t>
            </w:r>
          </w:p>
        </w:tc>
        <w:tc>
          <w:tcPr>
            <w:tcW w:w="0" w:type="auto"/>
            <w:tcBorders>
              <w:top w:val="nil"/>
              <w:left w:val="nil"/>
              <w:bottom w:val="nil"/>
              <w:right w:val="nil"/>
            </w:tcBorders>
            <w:tcMar>
              <w:top w:w="0" w:type="dxa"/>
              <w:left w:w="62" w:type="dxa"/>
              <w:bottom w:w="0" w:type="dxa"/>
              <w:right w:w="62" w:type="dxa"/>
            </w:tcMar>
          </w:tcPr>
          <w:p w:rsidR="00000000" w:rsidP="003D2FF6">
            <w:pPr>
              <w:pStyle w:val="BodyText"/>
              <w:rPr>
                <w:lang w:val="en-NZ"/>
              </w:rPr>
            </w:pPr>
            <w:r w:rsidRPr="003D2FF6">
              <w:t>Contribu</w:t>
            </w:r>
            <w:r w:rsidRPr="003D2FF6">
              <w:t>tion is made to the ongoing review of the technical integrity of organisational materiel to determine the effectiveness of risk management activities by accessing data and available information</w:t>
            </w:r>
          </w:p>
        </w:tc>
      </w:tr>
      <w:tr w:rsidTr="00E328A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D2FF6">
            <w:pPr>
              <w:pStyle w:val="BodyText"/>
              <w:rPr>
                <w:lang w:val="en-NZ"/>
              </w:rPr>
            </w:pPr>
            <w:r w:rsidRPr="003D2FF6">
              <w:t>3.2</w:t>
            </w:r>
          </w:p>
        </w:tc>
        <w:tc>
          <w:tcPr>
            <w:tcW w:w="0" w:type="auto"/>
            <w:tcBorders>
              <w:top w:val="nil"/>
              <w:left w:val="nil"/>
              <w:bottom w:val="nil"/>
              <w:right w:val="nil"/>
            </w:tcBorders>
            <w:tcMar>
              <w:top w:w="0" w:type="dxa"/>
              <w:left w:w="62" w:type="dxa"/>
              <w:bottom w:w="0" w:type="dxa"/>
              <w:right w:w="62" w:type="dxa"/>
            </w:tcMar>
          </w:tcPr>
          <w:p w:rsidR="00000000" w:rsidRPr="003D2FF6" w:rsidP="003D2FF6">
            <w:pPr>
              <w:pStyle w:val="BodyText"/>
            </w:pPr>
            <w:r w:rsidRPr="003D2FF6">
              <w:t>Risk management issues and responses are reported to others for lessons learned or application in future technical/engineering activities</w:t>
            </w:r>
          </w:p>
        </w:tc>
      </w:tr>
    </w:tbl>
    <w:p w:rsidR="00E328AB" w:rsidP="003D2FF6">
      <w:pPr>
        <w:pStyle w:val="BodyText"/>
      </w:pPr>
    </w:p>
    <w:p w:rsidR="00E328AB" w:rsidP="003D2FF6">
      <w:pPr>
        <w:pStyle w:val="BodyText"/>
      </w:pPr>
    </w:p>
    <w:p w:rsidR="00000000" w:rsidRPr="003D2FF6" w:rsidP="003D2FF6">
      <w:pPr>
        <w:pStyle w:val="Heading1"/>
      </w:pPr>
      <w:bookmarkStart w:id="7" w:name="O_754759"/>
      <w:bookmarkEnd w:id="7"/>
      <w:r w:rsidRPr="003D2FF6">
        <w:t>Foundation Skills</w:t>
      </w:r>
    </w:p>
    <w:tbl>
      <w:tblPr>
        <w:tblW w:w="9498" w:type="dxa"/>
        <w:tblLayout w:type="fixed"/>
        <w:tblCellMar>
          <w:left w:w="62" w:type="dxa"/>
          <w:right w:w="62" w:type="dxa"/>
        </w:tblCellMar>
        <w:tblLook w:val="0000"/>
      </w:tblPr>
      <w:tblGrid>
        <w:gridCol w:w="9498"/>
      </w:tblGrid>
      <w:tr w:rsidTr="003D2FF6">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3D2FF6" w:rsidP="003D2FF6">
            <w:pPr>
              <w:pStyle w:val="BodyText"/>
            </w:pPr>
            <w:r w:rsidRPr="003D2FF6">
              <w:t>Foundation skills essential to performance are explicit in the performance crite</w:t>
            </w:r>
            <w:r w:rsidRPr="003D2FF6">
              <w:t>ria of this unit of competency.</w:t>
            </w:r>
          </w:p>
        </w:tc>
      </w:tr>
    </w:tbl>
    <w:p w:rsidR="00E328AB" w:rsidP="003D2FF6">
      <w:pPr>
        <w:pStyle w:val="BodyText"/>
      </w:pPr>
    </w:p>
    <w:p w:rsidR="00E328AB" w:rsidP="003D2FF6">
      <w:pPr>
        <w:pStyle w:val="BodyText"/>
      </w:pPr>
    </w:p>
    <w:p w:rsidR="00000000" w:rsidRPr="003D2FF6" w:rsidP="003D2FF6">
      <w:pPr>
        <w:pStyle w:val="Heading1"/>
      </w:pPr>
      <w:bookmarkStart w:id="8" w:name="O_754760"/>
      <w:bookmarkEnd w:id="8"/>
      <w:r w:rsidRPr="003D2FF6">
        <w:t>Range of Conditions</w:t>
      </w:r>
    </w:p>
    <w:tbl>
      <w:tblPr>
        <w:tblW w:w="0" w:type="auto"/>
        <w:tblCellMar>
          <w:left w:w="62" w:type="dxa"/>
          <w:right w:w="62" w:type="dxa"/>
        </w:tblCellMar>
        <w:tblLook w:val="0000"/>
      </w:tblPr>
      <w:tblGrid>
        <w:gridCol w:w="9196"/>
      </w:tblGrid>
      <w:tr w:rsidTr="00E328A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D2FF6" w:rsidP="003D2FF6">
            <w:pPr>
              <w:pStyle w:val="BodyText"/>
            </w:pPr>
            <w:r w:rsidRPr="003D2FF6">
              <w:t>Range is restricted to essential operating conditions and any other variables essential to the work environment.</w:t>
            </w:r>
          </w:p>
          <w:p w:rsidR="00000000" w:rsidRPr="003D2FF6" w:rsidP="003D2FF6">
            <w:pPr>
              <w:pStyle w:val="BodyText"/>
            </w:pPr>
            <w:r w:rsidRPr="003D2FF6">
              <w:t>Non-essential conditions can be found in the Companion Volume Implement</w:t>
            </w:r>
            <w:r w:rsidRPr="003D2FF6">
              <w:t>ation Guide.</w:t>
            </w:r>
          </w:p>
        </w:tc>
      </w:tr>
    </w:tbl>
    <w:p w:rsidR="00E328AB" w:rsidP="003D2FF6">
      <w:pPr>
        <w:pStyle w:val="BodyText"/>
      </w:pPr>
    </w:p>
    <w:p w:rsidR="00E328AB" w:rsidP="003D2FF6">
      <w:pPr>
        <w:pStyle w:val="BodyText"/>
      </w:pPr>
    </w:p>
    <w:p w:rsidR="00000000" w:rsidRPr="003D2FF6" w:rsidP="003D2FF6">
      <w:pPr>
        <w:pStyle w:val="Heading1"/>
      </w:pPr>
      <w:bookmarkStart w:id="9" w:name="O_754761"/>
      <w:bookmarkEnd w:id="9"/>
      <w:r w:rsidRPr="003D2FF6">
        <w:t>Unit Mapping Information</w:t>
      </w:r>
    </w:p>
    <w:tbl>
      <w:tblPr>
        <w:tblW w:w="9498" w:type="dxa"/>
        <w:tblLayout w:type="fixed"/>
        <w:tblCellMar>
          <w:left w:w="62" w:type="dxa"/>
          <w:right w:w="62" w:type="dxa"/>
        </w:tblCellMar>
        <w:tblLook w:val="0000"/>
      </w:tblPr>
      <w:tblGrid>
        <w:gridCol w:w="9498"/>
      </w:tblGrid>
      <w:tr w:rsidTr="003D2FF6">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3D2FF6" w:rsidP="003D2FF6">
            <w:pPr>
              <w:pStyle w:val="BodyText"/>
            </w:pPr>
            <w:r w:rsidRPr="003D2FF6">
              <w:t>This unit replaces and is equivalent to TLIX4034A Apply technical risk management systems and techniques.</w:t>
            </w:r>
          </w:p>
        </w:tc>
      </w:tr>
    </w:tbl>
    <w:p w:rsidR="00E328AB" w:rsidP="003D2FF6">
      <w:pPr>
        <w:pStyle w:val="BodyText"/>
      </w:pPr>
    </w:p>
    <w:p w:rsidR="00E328AB" w:rsidP="003D2FF6">
      <w:pPr>
        <w:pStyle w:val="BodyText"/>
      </w:pPr>
    </w:p>
    <w:p w:rsidR="00000000" w:rsidRPr="003D2FF6" w:rsidP="003D2FF6">
      <w:pPr>
        <w:pStyle w:val="Heading1"/>
      </w:pPr>
      <w:bookmarkStart w:id="10" w:name="O_754768"/>
      <w:bookmarkEnd w:id="10"/>
      <w:r w:rsidRPr="003D2FF6">
        <w:t>Links</w:t>
      </w:r>
    </w:p>
    <w:p w:rsidR="00000000" w:rsidRPr="003D2FF6" w:rsidP="00E328AB">
      <w:pPr>
        <w:pStyle w:val="BodyText"/>
      </w:pPr>
      <w:r w:rsidRPr="003D2FF6">
        <w:t>Companion Volume imp</w:t>
      </w:r>
      <w:r w:rsidRPr="003D2FF6">
        <w:t xml:space="preserve">lementation guides are found in VETNet - </w:t>
      </w:r>
      <w:r>
        <w:fldChar w:fldCharType="begin"/>
      </w:r>
      <w:r>
        <w:instrText xml:space="preserve"> HYPERLINK "https://vetnet.gov.au/Pages/TrainingDocs.aspx?q=df441c6e-213d-43e3-874c-0b3f7036d851" </w:instrText>
      </w:r>
      <w:r>
        <w:fldChar w:fldCharType="separate"/>
      </w:r>
      <w:r w:rsidRPr="00E843B6">
        <w:rPr>
          <w:rStyle w:val="Hyperlink"/>
        </w:rPr>
        <w:t>https://vetnet.gov.au/Pages/TrainingDocs.aspx?q=df441c6e-213d-43e3-874c-0b3f7036d851</w:t>
      </w:r>
      <w:r>
        <w:fldChar w:fldCharType="end"/>
      </w:r>
    </w:p>
    <w:p w:rsidR="00000000" w:rsidRPr="003D2FF6" w:rsidP="00E328AB">
      <w:pPr>
        <w:pStyle w:val="BodyText"/>
        <w:sectPr w:rsidSect="003D2FF6">
          <w:headerReference w:type="default" r:id="rId10"/>
          <w:footerReference w:type="default" r:id="rId11"/>
          <w:pgSz w:w="11908" w:h="16833"/>
          <w:pgMar w:top="1702" w:right="1418" w:bottom="1702" w:left="1418" w:header="992" w:footer="992" w:gutter="0"/>
          <w:cols w:space="720"/>
          <w:noEndnote/>
          <w:docGrid w:linePitch="299"/>
        </w:sectPr>
      </w:pPr>
    </w:p>
    <w:p w:rsidR="00000000" w:rsidRPr="003D2FF6" w:rsidP="003D2FF6">
      <w:pPr>
        <w:pStyle w:val="SuperHeading"/>
      </w:pPr>
      <w:r w:rsidRPr="003D2FF6">
        <w:t>Assessment Requirements for TLIX4034 Apply technical risk management systems and te</w:t>
      </w:r>
      <w:r w:rsidRPr="003D2FF6">
        <w:t>chniques</w:t>
      </w:r>
    </w:p>
    <w:p w:rsidR="00000000" w:rsidRPr="003D2FF6" w:rsidP="003D2FF6">
      <w:pPr>
        <w:pStyle w:val="Heading1"/>
      </w:pPr>
      <w:bookmarkStart w:id="11" w:name="O_754763"/>
      <w:bookmarkEnd w:id="11"/>
      <w:r w:rsidRPr="003D2FF6">
        <w:t>Modification History</w:t>
      </w:r>
    </w:p>
    <w:p w:rsidR="00E328AB" w:rsidP="00E328AB">
      <w:pPr>
        <w:pStyle w:val="BodyText"/>
      </w:pPr>
      <w:r w:rsidRPr="003D2FF6">
        <w:t>Release 1. This is the first release of this unit of competency in the TLI Transport and Logistics Training Package.</w:t>
      </w:r>
    </w:p>
    <w:p w:rsidR="00000000" w:rsidRPr="003D2FF6" w:rsidP="003D2FF6">
      <w:pPr>
        <w:pStyle w:val="Heading1"/>
      </w:pPr>
      <w:bookmarkStart w:id="12" w:name="O_754764"/>
      <w:bookmarkEnd w:id="12"/>
      <w:r w:rsidRPr="003D2FF6">
        <w:t>Performance Evidence</w:t>
      </w:r>
    </w:p>
    <w:tbl>
      <w:tblPr>
        <w:tblW w:w="0" w:type="auto"/>
        <w:tblCellMar>
          <w:left w:w="62" w:type="dxa"/>
          <w:right w:w="62" w:type="dxa"/>
        </w:tblCellMar>
        <w:tblLook w:val="0000"/>
      </w:tblPr>
      <w:tblGrid>
        <w:gridCol w:w="9196"/>
      </w:tblGrid>
      <w:tr w:rsidTr="00E328AB">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3D2FF6">
            <w:pPr>
              <w:pStyle w:val="BodyText"/>
              <w:rPr>
                <w:lang w:val="en-NZ"/>
              </w:rPr>
            </w:pPr>
            <w:r w:rsidRPr="003D2FF6">
              <w:t>Evidence required to demonstrate competence in this unit must be relevant to and satisfy all of the requirements of the elements and performance criteria and on at least one occasion and include:</w:t>
            </w:r>
          </w:p>
        </w:tc>
      </w:tr>
      <w:tr w:rsidTr="00E328AB">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3D2FF6" w:rsidP="003D2FF6">
            <w:pPr>
              <w:pStyle w:val="ListBullet"/>
            </w:pPr>
            <w:r w:rsidRPr="003D2FF6">
              <w:t>adhering to and applying relevant data collection, storage</w:t>
            </w:r>
            <w:r w:rsidRPr="003D2FF6">
              <w:t xml:space="preserve"> and retrieval requirements</w:t>
            </w:r>
          </w:p>
          <w:p w:rsidR="00000000" w:rsidRPr="003D2FF6" w:rsidP="003D2FF6">
            <w:pPr>
              <w:pStyle w:val="ListBullet"/>
            </w:pPr>
            <w:r w:rsidRPr="003D2FF6">
              <w:t>applying knowledge of technical risk management systems to work being performed and to guide problem solving</w:t>
            </w:r>
          </w:p>
          <w:p w:rsidR="00000000" w:rsidRPr="003D2FF6" w:rsidP="003D2FF6">
            <w:pPr>
              <w:pStyle w:val="ListBullet"/>
            </w:pPr>
            <w:r w:rsidRPr="003D2FF6">
              <w:t>applying safety, legislative and statutory requirements, including environmental, sustainability issues relevant to tec</w:t>
            </w:r>
            <w:r w:rsidRPr="003D2FF6">
              <w:t>hnical risk management</w:t>
            </w:r>
          </w:p>
          <w:p w:rsidR="00000000" w:rsidRPr="003D2FF6" w:rsidP="003D2FF6">
            <w:pPr>
              <w:pStyle w:val="ListBullet"/>
            </w:pPr>
            <w:r w:rsidRPr="003D2FF6">
              <w:t>applying technical risk management knowledge relevant to work being performed</w:t>
            </w:r>
          </w:p>
          <w:p w:rsidR="00000000" w:rsidRPr="003D2FF6" w:rsidP="003D2FF6">
            <w:pPr>
              <w:pStyle w:val="ListBullet"/>
            </w:pPr>
            <w:r w:rsidRPr="003D2FF6">
              <w:t>completing work area housekeeping requirements including documenting risk management activity and process outcomes</w:t>
            </w:r>
          </w:p>
          <w:p w:rsidR="00000000" w:rsidRPr="003D2FF6" w:rsidP="003D2FF6">
            <w:pPr>
              <w:pStyle w:val="ListBullet"/>
            </w:pPr>
            <w:r w:rsidRPr="003D2FF6">
              <w:t>contributing to reports of results</w:t>
            </w:r>
          </w:p>
          <w:p w:rsidR="00000000" w:rsidRPr="003D2FF6" w:rsidP="003D2FF6">
            <w:pPr>
              <w:pStyle w:val="ListBullet"/>
            </w:pPr>
            <w:r w:rsidRPr="003D2FF6">
              <w:t>controlling risk</w:t>
            </w:r>
          </w:p>
          <w:p w:rsidR="00000000" w:rsidRPr="003D2FF6" w:rsidP="003D2FF6">
            <w:pPr>
              <w:pStyle w:val="ListBullet"/>
            </w:pPr>
            <w:r w:rsidRPr="003D2FF6">
              <w:t>developing risk management strategies</w:t>
            </w:r>
          </w:p>
          <w:p w:rsidR="00000000" w:rsidRPr="003D2FF6" w:rsidP="003D2FF6">
            <w:pPr>
              <w:pStyle w:val="ListBullet"/>
            </w:pPr>
            <w:r w:rsidRPr="003D2FF6">
              <w:t>identifying risk</w:t>
            </w:r>
          </w:p>
          <w:p w:rsidR="00000000" w:rsidRPr="003D2FF6" w:rsidP="003D2FF6">
            <w:pPr>
              <w:pStyle w:val="ListBullet"/>
            </w:pPr>
            <w:r w:rsidRPr="003D2FF6">
              <w:t>implementing, monitoring, and successfully completing risk management activities</w:t>
            </w:r>
          </w:p>
          <w:p w:rsidR="00000000" w:rsidRPr="003D2FF6" w:rsidP="003D2FF6">
            <w:pPr>
              <w:pStyle w:val="ListBullet"/>
            </w:pPr>
            <w:r w:rsidRPr="003D2FF6">
              <w:t>interpreting organisational role relevant to technical risk management</w:t>
            </w:r>
          </w:p>
          <w:p w:rsidR="00000000" w:rsidRPr="003D2FF6" w:rsidP="003D2FF6">
            <w:pPr>
              <w:pStyle w:val="ListBullet"/>
            </w:pPr>
            <w:r w:rsidRPr="003D2FF6">
              <w:t>modifying activities to cater fo</w:t>
            </w:r>
            <w:r w:rsidRPr="003D2FF6">
              <w:t>r variations in workplace context and environment</w:t>
            </w:r>
          </w:p>
          <w:p w:rsidR="00000000" w:rsidRPr="003D2FF6" w:rsidP="003D2FF6">
            <w:pPr>
              <w:pStyle w:val="ListBullet"/>
            </w:pPr>
            <w:r w:rsidRPr="003D2FF6">
              <w:t>monitoring risks (with emphasis on variation management)</w:t>
            </w:r>
          </w:p>
          <w:p w:rsidR="00000000" w:rsidRPr="003D2FF6" w:rsidP="003D2FF6">
            <w:pPr>
              <w:pStyle w:val="ListBullet"/>
            </w:pPr>
            <w:r w:rsidRPr="003D2FF6">
              <w:t>operating equipment and systems relevant to technical risk management activities</w:t>
            </w:r>
          </w:p>
          <w:p w:rsidR="00000000" w:rsidRPr="003D2FF6" w:rsidP="003D2FF6">
            <w:pPr>
              <w:pStyle w:val="ListBullet"/>
            </w:pPr>
            <w:r w:rsidRPr="003D2FF6">
              <w:t xml:space="preserve">reviewing risk management within the project </w:t>
            </w:r>
          </w:p>
          <w:p w:rsidR="00000000" w:rsidRPr="003D2FF6" w:rsidP="003D2FF6">
            <w:pPr>
              <w:pStyle w:val="ListBullet"/>
            </w:pPr>
            <w:r w:rsidRPr="003D2FF6">
              <w:t>using appropriate info</w:t>
            </w:r>
            <w:r w:rsidRPr="003D2FF6">
              <w:t xml:space="preserve">rmation technology and software </w:t>
            </w:r>
          </w:p>
          <w:p w:rsidR="00000000" w:rsidRPr="003D2FF6" w:rsidP="003D2FF6">
            <w:pPr>
              <w:pStyle w:val="ListBullet"/>
            </w:pPr>
            <w:r w:rsidRPr="003D2FF6">
              <w:t>working and communicating effectively and positively with others involved in the work.</w:t>
            </w:r>
          </w:p>
        </w:tc>
      </w:tr>
    </w:tbl>
    <w:p w:rsidR="00000000" w:rsidRPr="003D2FF6" w:rsidP="003D2FF6">
      <w:pPr>
        <w:pStyle w:val="BodyText"/>
      </w:pPr>
    </w:p>
    <w:p w:rsidR="00000000" w:rsidRPr="003D2FF6" w:rsidP="003D2FF6">
      <w:pPr>
        <w:pStyle w:val="AllowPageBreak"/>
      </w:pPr>
    </w:p>
    <w:p w:rsidR="00000000" w:rsidRPr="003D2FF6" w:rsidP="003D2FF6">
      <w:pPr>
        <w:pStyle w:val="Heading1"/>
      </w:pPr>
      <w:bookmarkStart w:id="13" w:name="O_754765"/>
      <w:bookmarkEnd w:id="13"/>
      <w:r w:rsidRPr="003D2FF6">
        <w:t>Knowledge Evidence</w:t>
      </w:r>
    </w:p>
    <w:tbl>
      <w:tblPr>
        <w:tblW w:w="0" w:type="auto"/>
        <w:tblCellMar>
          <w:left w:w="62" w:type="dxa"/>
          <w:right w:w="62" w:type="dxa"/>
        </w:tblCellMar>
        <w:tblLook w:val="0000"/>
      </w:tblPr>
      <w:tblGrid>
        <w:gridCol w:w="9196"/>
      </w:tblGrid>
      <w:tr w:rsidTr="00E328AB">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3D2FF6">
            <w:pPr>
              <w:pStyle w:val="BodyText"/>
              <w:rPr>
                <w:lang w:val="en-NZ"/>
              </w:rPr>
            </w:pPr>
            <w:r w:rsidRPr="003D2FF6">
              <w:t>Evidence required to demonstrate competence in this unit must be relevant to and satisfy</w:t>
            </w:r>
            <w:r w:rsidRPr="003D2FF6">
              <w:t xml:space="preserve"> all of the requirements of the elements and performance criteria and include knowledge of:</w:t>
            </w:r>
          </w:p>
        </w:tc>
      </w:tr>
      <w:tr w:rsidTr="00E328AB">
        <w:tblPrEx>
          <w:tblW w:w="0" w:type="auto"/>
          <w:tblCellMar>
            <w:left w:w="62" w:type="dxa"/>
            <w:right w:w="62" w:type="dxa"/>
          </w:tblCellMar>
          <w:tblLook w:val="0000"/>
        </w:tblPrEx>
        <w:trPr>
          <w:trHeight w:val="709"/>
        </w:trPr>
        <w:tc>
          <w:tcPr>
            <w:tcW w:w="0" w:type="auto"/>
            <w:tcBorders>
              <w:top w:val="nil"/>
              <w:left w:val="nil"/>
              <w:bottom w:val="nil"/>
              <w:right w:val="nil"/>
            </w:tcBorders>
            <w:tcMar>
              <w:top w:w="0" w:type="dxa"/>
              <w:left w:w="62" w:type="dxa"/>
              <w:bottom w:w="0" w:type="dxa"/>
              <w:right w:w="62" w:type="dxa"/>
            </w:tcMar>
          </w:tcPr>
          <w:p w:rsidR="00000000" w:rsidRPr="003D2FF6" w:rsidP="003D2FF6">
            <w:pPr>
              <w:pStyle w:val="ListBullet"/>
            </w:pPr>
            <w:r w:rsidRPr="003D2FF6">
              <w:t>organisational engineering management plan and risk management plan</w:t>
            </w:r>
          </w:p>
          <w:p w:rsidR="00000000" w:rsidRPr="003D2FF6" w:rsidP="003D2FF6">
            <w:pPr>
              <w:pStyle w:val="ListBullet"/>
            </w:pPr>
            <w:r w:rsidRPr="003D2FF6">
              <w:t>own role in relation to wider organisational or project context</w:t>
            </w:r>
          </w:p>
          <w:p w:rsidR="00000000" w:rsidRPr="003D2FF6" w:rsidP="003D2FF6">
            <w:pPr>
              <w:pStyle w:val="ListBullet"/>
            </w:pPr>
            <w:r w:rsidRPr="003D2FF6">
              <w:t xml:space="preserve">risk management as applied in </w:t>
            </w:r>
            <w:r w:rsidRPr="003D2FF6">
              <w:t>a technical/engineering context, including principles, tools, techniques, standards and processes</w:t>
            </w:r>
          </w:p>
          <w:p w:rsidR="00000000" w:rsidRPr="003D2FF6" w:rsidP="003D2FF6">
            <w:pPr>
              <w:pStyle w:val="ListBullet"/>
            </w:pPr>
            <w:r w:rsidRPr="003D2FF6">
              <w:t>technical regulatory framework.</w:t>
            </w:r>
          </w:p>
        </w:tc>
      </w:tr>
    </w:tbl>
    <w:p w:rsidR="00000000" w:rsidRPr="003D2FF6" w:rsidP="003D2FF6">
      <w:pPr>
        <w:pStyle w:val="BodyText"/>
      </w:pPr>
    </w:p>
    <w:p w:rsidR="00000000" w:rsidRPr="003D2FF6" w:rsidP="003D2FF6">
      <w:pPr>
        <w:pStyle w:val="AllowPageBreak"/>
      </w:pPr>
    </w:p>
    <w:p w:rsidR="00000000" w:rsidRPr="003D2FF6" w:rsidP="003D2FF6">
      <w:pPr>
        <w:pStyle w:val="Heading1"/>
      </w:pPr>
      <w:bookmarkStart w:id="14" w:name="O_754766"/>
      <w:bookmarkEnd w:id="14"/>
      <w:r w:rsidRPr="003D2FF6">
        <w:t>Assessment Conditions</w:t>
      </w:r>
    </w:p>
    <w:tbl>
      <w:tblPr>
        <w:tblW w:w="0" w:type="auto"/>
        <w:tblCellMar>
          <w:left w:w="62" w:type="dxa"/>
          <w:right w:w="62" w:type="dxa"/>
        </w:tblCellMar>
        <w:tblLook w:val="0000"/>
      </w:tblPr>
      <w:tblGrid>
        <w:gridCol w:w="9196"/>
      </w:tblGrid>
      <w:tr w:rsidTr="00E328A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D2FF6" w:rsidP="003D2FF6">
            <w:pPr>
              <w:pStyle w:val="BodyText"/>
            </w:pPr>
            <w:r w:rsidRPr="003D2FF6">
              <w:t>As a minimum, asse</w:t>
            </w:r>
            <w:r w:rsidRPr="003D2FF6">
              <w:t xml:space="preserve">ssors must satisfy applicable regulatory requirements, which include requirements in the </w:t>
            </w:r>
            <w:r w:rsidRPr="003D2FF6">
              <w:rPr>
                <w:rStyle w:val="Emphasis"/>
              </w:rPr>
              <w:t>Standards for Registered Training Organisations</w:t>
            </w:r>
            <w:r w:rsidRPr="003D2FF6">
              <w:t xml:space="preserve"> current at the time of assessment. </w:t>
            </w:r>
          </w:p>
          <w:p w:rsidR="00000000" w:rsidRPr="003D2FF6" w:rsidP="003D2FF6">
            <w:pPr>
              <w:pStyle w:val="BodyText"/>
            </w:pPr>
            <w:r w:rsidRPr="003D2FF6">
              <w:t>As a minimum, assessment must satisfy applicable regulatory requirements, which inc</w:t>
            </w:r>
            <w:r w:rsidRPr="003D2FF6">
              <w:t xml:space="preserve">lude requirements in the </w:t>
            </w:r>
            <w:r w:rsidRPr="003D2FF6">
              <w:rPr>
                <w:rStyle w:val="Emphasis"/>
              </w:rPr>
              <w:t>Standards for Registered Training Organisations</w:t>
            </w:r>
            <w:r w:rsidRPr="003D2FF6">
              <w:t xml:space="preserve"> current at the time of assessment.</w:t>
            </w:r>
          </w:p>
          <w:p w:rsidR="00000000" w:rsidRPr="003D2FF6" w:rsidP="003D2FF6">
            <w:pPr>
              <w:pStyle w:val="BodyText"/>
            </w:pPr>
            <w:r w:rsidRPr="003D2FF6">
              <w:t xml:space="preserve">Assessment must occur in workplace operational situations where it is appropriate to do so; where this is not appropriate, assessment must occur in </w:t>
            </w:r>
            <w:r w:rsidRPr="003D2FF6">
              <w:t xml:space="preserve">simulated workplace operational situations that replicate workplace conditions. </w:t>
            </w:r>
          </w:p>
          <w:p w:rsidR="00000000" w:rsidRPr="003D2FF6" w:rsidP="003D2FF6">
            <w:pPr>
              <w:pStyle w:val="BodyText"/>
            </w:pPr>
            <w:r w:rsidRPr="003D2FF6">
              <w:t>Assessment processes and techniques must be appropriate to the language, literacy and numeracy requirements of the work being performed and the needs of the candidate.</w:t>
            </w:r>
          </w:p>
          <w:p w:rsidR="00000000" w:rsidRPr="003D2FF6" w:rsidP="003D2FF6">
            <w:pPr>
              <w:pStyle w:val="BodyText"/>
            </w:pPr>
            <w:r w:rsidRPr="003D2FF6">
              <w:t>Resourc</w:t>
            </w:r>
            <w:r w:rsidRPr="003D2FF6">
              <w:t>es for assessment include:</w:t>
            </w:r>
          </w:p>
          <w:p w:rsidR="00000000" w:rsidRPr="003D2FF6" w:rsidP="003D2FF6">
            <w:pPr>
              <w:pStyle w:val="ListBullet"/>
            </w:pPr>
            <w:r w:rsidRPr="003D2FF6">
              <w:t>a range of relevant exercises, case studies and/or simulations</w:t>
            </w:r>
          </w:p>
          <w:p w:rsidR="00000000" w:rsidRPr="003D2FF6" w:rsidP="003D2FF6">
            <w:pPr>
              <w:pStyle w:val="ListBullet"/>
            </w:pPr>
            <w:r w:rsidRPr="003D2FF6">
              <w:t xml:space="preserve">relevant and appropriate materials, tools, equipment and personal protective equipment currently used in industry </w:t>
            </w:r>
          </w:p>
          <w:p w:rsidR="00000000" w:rsidRPr="003D2FF6" w:rsidP="003D2FF6">
            <w:pPr>
              <w:pStyle w:val="ListBullet"/>
            </w:pPr>
            <w:r w:rsidRPr="003D2FF6">
              <w:t>applicable documentation including workplace proce</w:t>
            </w:r>
            <w:r w:rsidRPr="003D2FF6">
              <w:t>dures, regulations, codes of practice and operation manuals</w:t>
            </w:r>
          </w:p>
          <w:p w:rsidR="00000000" w:rsidRPr="003D2FF6" w:rsidP="003D2FF6">
            <w:pPr>
              <w:pStyle w:val="ListBullet"/>
            </w:pPr>
            <w:r w:rsidRPr="003D2FF6">
              <w:t>computer and relevant software</w:t>
            </w:r>
          </w:p>
          <w:p w:rsidR="00000000" w:rsidRPr="003D2FF6" w:rsidP="003D2FF6">
            <w:pPr>
              <w:pStyle w:val="ListBullet"/>
            </w:pPr>
            <w:r w:rsidRPr="003D2FF6">
              <w:t>legislation, guidelines, procedures and protocols relating to technical risk management systems and techniques</w:t>
            </w:r>
          </w:p>
          <w:p w:rsidR="00000000" w:rsidRPr="003D2FF6" w:rsidP="003D2FF6">
            <w:pPr>
              <w:pStyle w:val="ListBullet"/>
            </w:pPr>
            <w:r w:rsidRPr="003D2FF6">
              <w:t>engineering management plans, organisational plans, risk management plans.</w:t>
            </w:r>
          </w:p>
        </w:tc>
      </w:tr>
    </w:tbl>
    <w:p w:rsidR="00E328AB" w:rsidP="003D2FF6">
      <w:pPr>
        <w:pStyle w:val="BodyText"/>
      </w:pPr>
    </w:p>
    <w:p w:rsidR="00E328AB" w:rsidP="003D2FF6">
      <w:pPr>
        <w:pStyle w:val="BodyText"/>
      </w:pPr>
    </w:p>
    <w:p w:rsidR="00000000" w:rsidRPr="003D2FF6" w:rsidP="003D2FF6">
      <w:pPr>
        <w:pStyle w:val="Heading1"/>
      </w:pPr>
      <w:bookmarkStart w:id="15" w:name="O_754769"/>
      <w:bookmarkEnd w:id="15"/>
      <w:r w:rsidRPr="003D2FF6">
        <w:t>Links</w:t>
      </w:r>
    </w:p>
    <w:p w:rsidR="00000000" w:rsidRPr="003D2FF6" w:rsidP="00E328AB">
      <w:pPr>
        <w:pStyle w:val="BodyText"/>
      </w:pPr>
      <w:r w:rsidRPr="003D2FF6">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E843B6">
        <w:rPr>
          <w:rStyle w:val="Hyperlink"/>
        </w:rPr>
        <w:t>https://vetnet.gov.au/Pages/TrainingDocs.aspx?q=df441c6e-213d-43e3-874c-0b3f7036d851</w:t>
      </w:r>
      <w:r>
        <w:fldChar w:fldCharType="end"/>
      </w:r>
    </w:p>
    <w:p w:rsidR="00000000" w:rsidRPr="003D2FF6" w:rsidP="003D2FF6"/>
    <w:sectPr w:rsidSect="003D2FF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FF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FF6" w:rsidRPr="00E328AB" w:rsidP="00E328A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FF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8AB" w:rsidP="003D2FF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328AB" w:rsidP="003D2FF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E328AB" w:rsidP="003D2FF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FF6" w:rsidP="003D2FF6">
    <w:pPr>
      <w:pStyle w:val="Footer"/>
      <w:framePr w:wrap="around"/>
    </w:pPr>
    <w:r>
      <w:fldChar w:fldCharType="begin"/>
    </w:r>
    <w:r>
      <w:instrText xml:space="preserve"> DOCPROPERTY  Subject  \* MERGEFORMAT </w:instrText>
    </w:r>
    <w:r>
      <w:fldChar w:fldCharType="separate"/>
    </w:r>
    <w:r w:rsidR="00E328AB">
      <w:t>Approved</w:t>
    </w:r>
    <w:r w:rsidR="00E328AB">
      <w:fldChar w:fldCharType="end"/>
    </w:r>
    <w:r>
      <w:tab/>
      <w:t xml:space="preserve">Page </w:t>
    </w:r>
    <w:r>
      <w:fldChar w:fldCharType="begin"/>
    </w:r>
    <w:r>
      <w:instrText xml:space="preserve"> PAGE  \* Arabic  \* MERGEFORMAT </w:instrText>
    </w:r>
    <w:r>
      <w:fldChar w:fldCharType="separate"/>
    </w:r>
    <w:r w:rsidR="00E328A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328AB">
      <w:rPr>
        <w:noProof/>
      </w:rPr>
      <w:t>4</w:t>
    </w:r>
    <w:r>
      <w:rPr>
        <w:noProof/>
      </w:rPr>
      <w:fldChar w:fldCharType="end"/>
    </w:r>
  </w:p>
  <w:p w:rsidR="003D2FF6" w:rsidP="003D2FF6">
    <w:pPr>
      <w:pStyle w:val="Footer"/>
      <w:framePr w:wrap="around"/>
    </w:pPr>
    <w:r>
      <w:t xml:space="preserve">© Commonwealth of Australia, </w:t>
    </w:r>
    <w:r>
      <w:fldChar w:fldCharType="begin"/>
    </w:r>
    <w:r>
      <w:instrText xml:space="preserve"> DATE  \@ "yyyy"  \* MERGEFORMAT </w:instrText>
    </w:r>
    <w:r>
      <w:fldChar w:fldCharType="separate"/>
    </w:r>
    <w:r w:rsidR="00E328AB">
      <w:rPr>
        <w:noProof/>
      </w:rPr>
      <w:t>2025</w:t>
    </w:r>
    <w:r>
      <w:fldChar w:fldCharType="end"/>
    </w:r>
    <w:r>
      <w:tab/>
    </w:r>
    <w:r>
      <w:fldChar w:fldCharType="begin"/>
    </w:r>
    <w:r>
      <w:instrText xml:space="preserve"> DOCPROPERTY  Author  \* MERGEFORMAT </w:instrText>
    </w:r>
    <w:r>
      <w:fldChar w:fldCharType="separate"/>
    </w:r>
    <w:r w:rsidR="00E328AB">
      <w:t>Industry Skills Australia</w:t>
    </w:r>
    <w:r w:rsidR="00E328AB">
      <w:fldChar w:fldCharType="end"/>
    </w:r>
  </w:p>
  <w:p w:rsidR="003D2FF6" w:rsidP="003D2FF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FF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8A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D2FF6" w:rsidRPr="00E328AB" w:rsidP="00E328A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FF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8AB" w:rsidRPr="002D2AF8" w:rsidP="003D2FF6">
    <w:pPr>
      <w:pStyle w:val="Header"/>
      <w:framePr w:wrap="around"/>
    </w:pPr>
    <w:r>
      <w:fldChar w:fldCharType="begin"/>
    </w:r>
    <w:r>
      <w:instrText xml:space="preserve"> TITLE   \* MERGEFORMAT </w:instrText>
    </w:r>
    <w:r>
      <w:fldChar w:fldCharType="separate"/>
    </w:r>
    <w:r>
      <w:t>TLIX4034 Apply technical risk management systems and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328AB" w:rsidP="003D2FF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FF6" w:rsidRPr="002D2AF8" w:rsidP="003D2FF6">
    <w:pPr>
      <w:pStyle w:val="Header"/>
      <w:framePr w:wrap="around"/>
    </w:pPr>
    <w:r>
      <w:fldChar w:fldCharType="begin"/>
    </w:r>
    <w:r>
      <w:instrText xml:space="preserve"> TITLE   \* MERGEFORMAT </w:instrText>
    </w:r>
    <w:r>
      <w:fldChar w:fldCharType="separate"/>
    </w:r>
    <w:r w:rsidR="00E328AB">
      <w:t>TLIX4034 Apply technical risk management systems and techniques</w:t>
    </w:r>
    <w:r w:rsidR="00E328AB">
      <w:fldChar w:fldCharType="end"/>
    </w:r>
    <w:r>
      <w:tab/>
      <w:t xml:space="preserve">Date this document was generated: </w:t>
    </w:r>
    <w:r>
      <w:fldChar w:fldCharType="begin"/>
    </w:r>
    <w:r>
      <w:instrText xml:space="preserve"> CREATEDATE  \@ "d MMMM yyyy"  \* MERGEFORMAT </w:instrText>
    </w:r>
    <w:r>
      <w:fldChar w:fldCharType="separate"/>
    </w:r>
    <w:r w:rsidR="00E328AB">
      <w:rPr>
        <w:noProof/>
      </w:rPr>
      <w:t>2 March 2025</w:t>
    </w:r>
    <w:r>
      <w:fldChar w:fldCharType="end"/>
    </w:r>
  </w:p>
  <w:p w:rsidR="003D2FF6" w:rsidP="003D2FF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104BC2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7F2F84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2FF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D2FF6"/>
    <w:pPr>
      <w:spacing w:before="360" w:after="60"/>
      <w:outlineLvl w:val="0"/>
    </w:pPr>
    <w:rPr>
      <w:sz w:val="32"/>
    </w:rPr>
  </w:style>
  <w:style w:type="paragraph" w:styleId="Heading2">
    <w:name w:val="heading 2"/>
    <w:basedOn w:val="HeadingBase"/>
    <w:next w:val="BodyText"/>
    <w:link w:val="Heading2Char"/>
    <w:qFormat/>
    <w:rsid w:val="003D2FF6"/>
    <w:pPr>
      <w:keepLines/>
      <w:spacing w:before="240" w:after="120"/>
      <w:outlineLvl w:val="1"/>
    </w:pPr>
    <w:rPr>
      <w:sz w:val="28"/>
      <w:szCs w:val="40"/>
    </w:rPr>
  </w:style>
  <w:style w:type="paragraph" w:styleId="Heading3">
    <w:name w:val="heading 3"/>
    <w:basedOn w:val="HeadingBase"/>
    <w:next w:val="BodyText"/>
    <w:link w:val="Heading3Char"/>
    <w:qFormat/>
    <w:rsid w:val="003D2FF6"/>
    <w:pPr>
      <w:spacing w:before="180" w:after="120"/>
      <w:outlineLvl w:val="2"/>
    </w:pPr>
    <w:rPr>
      <w:spacing w:val="-10"/>
      <w:kern w:val="32"/>
    </w:rPr>
  </w:style>
  <w:style w:type="paragraph" w:styleId="Heading4">
    <w:name w:val="heading 4"/>
    <w:basedOn w:val="HeadingBase"/>
    <w:next w:val="BodyText"/>
    <w:link w:val="Heading4Char"/>
    <w:qFormat/>
    <w:rsid w:val="003D2FF6"/>
    <w:pPr>
      <w:spacing w:before="160" w:after="120"/>
      <w:outlineLvl w:val="3"/>
    </w:pPr>
    <w:rPr>
      <w:sz w:val="22"/>
    </w:rPr>
  </w:style>
  <w:style w:type="paragraph" w:styleId="Heading5">
    <w:name w:val="heading 5"/>
    <w:basedOn w:val="HeadingBase"/>
    <w:next w:val="Normal"/>
    <w:link w:val="Heading5Char"/>
    <w:qFormat/>
    <w:rsid w:val="003D2FF6"/>
    <w:pPr>
      <w:spacing w:before="80"/>
      <w:outlineLvl w:val="4"/>
    </w:pPr>
    <w:rPr>
      <w:color w:val="918585"/>
      <w:sz w:val="20"/>
    </w:rPr>
  </w:style>
  <w:style w:type="paragraph" w:styleId="Heading6">
    <w:name w:val="heading 6"/>
    <w:basedOn w:val="HeadingBase"/>
    <w:next w:val="Normal"/>
    <w:link w:val="Heading6Char"/>
    <w:qFormat/>
    <w:rsid w:val="003D2FF6"/>
    <w:pPr>
      <w:spacing w:before="60"/>
      <w:outlineLvl w:val="5"/>
    </w:pPr>
    <w:rPr>
      <w:color w:val="918585"/>
      <w:sz w:val="20"/>
    </w:rPr>
  </w:style>
  <w:style w:type="paragraph" w:styleId="Heading7">
    <w:name w:val="heading 7"/>
    <w:basedOn w:val="Normal"/>
    <w:next w:val="Normal"/>
    <w:link w:val="Heading7Char"/>
    <w:qFormat/>
    <w:rsid w:val="003D2FF6"/>
    <w:pPr>
      <w:ind w:left="720"/>
      <w:outlineLvl w:val="6"/>
    </w:pPr>
    <w:rPr>
      <w:i/>
    </w:rPr>
  </w:style>
  <w:style w:type="paragraph" w:styleId="Heading8">
    <w:name w:val="heading 8"/>
    <w:basedOn w:val="Normal"/>
    <w:next w:val="Normal"/>
    <w:link w:val="Heading8Char"/>
    <w:qFormat/>
    <w:rsid w:val="003D2FF6"/>
    <w:pPr>
      <w:ind w:left="720"/>
      <w:outlineLvl w:val="7"/>
    </w:pPr>
    <w:rPr>
      <w:i/>
    </w:rPr>
  </w:style>
  <w:style w:type="paragraph" w:styleId="Heading9">
    <w:name w:val="heading 9"/>
    <w:basedOn w:val="Normal"/>
    <w:next w:val="Normal"/>
    <w:link w:val="Heading9Char"/>
    <w:qFormat/>
    <w:rsid w:val="003D2FF6"/>
    <w:pPr>
      <w:ind w:left="720"/>
      <w:outlineLvl w:val="8"/>
    </w:pPr>
    <w:rPr>
      <w:i/>
    </w:rPr>
  </w:style>
  <w:style w:type="character" w:default="1" w:styleId="DefaultParagraphFont">
    <w:name w:val="Default Paragraph Font"/>
    <w:uiPriority w:val="1"/>
    <w:unhideWhenUsed/>
    <w:rsid w:val="003D2FF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D2FF6"/>
  </w:style>
  <w:style w:type="character" w:customStyle="1" w:styleId="Heading1Char">
    <w:name w:val="Heading 1 Char"/>
    <w:basedOn w:val="DefaultParagraphFont"/>
    <w:link w:val="Heading1"/>
    <w:rsid w:val="003D2FF6"/>
    <w:rPr>
      <w:rFonts w:ascii="Times New Roman" w:eastAsia="Times New Roman" w:hAnsi="Times New Roman" w:cs="Times New Roman"/>
      <w:b/>
      <w:sz w:val="32"/>
      <w:szCs w:val="20"/>
      <w:lang w:eastAsia="en-US"/>
    </w:rPr>
  </w:style>
  <w:style w:type="paragraph" w:styleId="BodyText">
    <w:name w:val="Body Text"/>
    <w:basedOn w:val="Normal"/>
    <w:link w:val="BodyTextChar"/>
    <w:rsid w:val="003D2FF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D2FF6"/>
    <w:rPr>
      <w:rFonts w:ascii="Times New Roman" w:eastAsia="Times New Roman" w:hAnsi="Times New Roman" w:cs="Times New Roman"/>
      <w:sz w:val="24"/>
      <w:lang w:eastAsia="en-US"/>
    </w:rPr>
  </w:style>
  <w:style w:type="paragraph" w:styleId="ListBullet">
    <w:name w:val="List Bullet"/>
    <w:basedOn w:val="List"/>
    <w:rsid w:val="003D2FF6"/>
    <w:pPr>
      <w:numPr>
        <w:numId w:val="11"/>
      </w:numPr>
      <w:tabs>
        <w:tab w:val="clear" w:pos="340"/>
      </w:tabs>
      <w:spacing w:before="40" w:after="40"/>
    </w:pPr>
  </w:style>
  <w:style w:type="character" w:customStyle="1" w:styleId="SpecialBold">
    <w:name w:val="Special Bold"/>
    <w:basedOn w:val="DefaultParagraphFont"/>
    <w:rsid w:val="003D2FF6"/>
    <w:rPr>
      <w:b/>
      <w:spacing w:val="0"/>
    </w:rPr>
  </w:style>
  <w:style w:type="character" w:styleId="Emphasis">
    <w:name w:val="Emphasis"/>
    <w:basedOn w:val="DefaultParagraphFont"/>
    <w:qFormat/>
    <w:rsid w:val="003D2FF6"/>
    <w:rPr>
      <w:i/>
    </w:rPr>
  </w:style>
  <w:style w:type="paragraph" w:customStyle="1" w:styleId="SuperHeading">
    <w:name w:val="SuperHeading"/>
    <w:basedOn w:val="Normal"/>
    <w:rsid w:val="003D2FF6"/>
    <w:pPr>
      <w:spacing w:before="240" w:after="120"/>
      <w:outlineLvl w:val="0"/>
    </w:pPr>
    <w:rPr>
      <w:rFonts w:ascii="Times New Roman" w:hAnsi="Times New Roman"/>
      <w:b/>
      <w:sz w:val="32"/>
    </w:rPr>
  </w:style>
  <w:style w:type="paragraph" w:customStyle="1" w:styleId="AllowPageBreak">
    <w:name w:val="AllowPageBreak"/>
    <w:rsid w:val="003D2FF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D2FF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D2FF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D2FF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D2FF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D2FF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D2FF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D2FF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D2FF6"/>
    <w:rPr>
      <w:rFonts w:ascii="Courier New" w:eastAsia="Times New Roman" w:hAnsi="Courier New" w:cs="Times New Roman"/>
      <w:i/>
      <w:szCs w:val="20"/>
      <w:lang w:eastAsia="en-US"/>
    </w:rPr>
  </w:style>
  <w:style w:type="paragraph" w:customStyle="1" w:styleId="HeadingBase">
    <w:name w:val="Heading Base"/>
    <w:rsid w:val="003D2FF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D2FF6"/>
    <w:pPr>
      <w:tabs>
        <w:tab w:val="right" w:leader="dot" w:pos="9072"/>
      </w:tabs>
      <w:ind w:left="567"/>
    </w:pPr>
    <w:rPr>
      <w:szCs w:val="22"/>
    </w:rPr>
  </w:style>
  <w:style w:type="paragraph" w:customStyle="1" w:styleId="TOCBase">
    <w:name w:val="TOC Base"/>
    <w:rsid w:val="003D2FF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D2FF6"/>
    <w:pPr>
      <w:tabs>
        <w:tab w:val="right" w:leader="dot" w:pos="9072"/>
      </w:tabs>
      <w:spacing w:before="40" w:after="40"/>
      <w:ind w:left="284"/>
    </w:pPr>
    <w:rPr>
      <w:rFonts w:ascii="Times New Roman" w:hAnsi="Times New Roman"/>
    </w:rPr>
  </w:style>
  <w:style w:type="paragraph" w:styleId="TOC1">
    <w:name w:val="toc 1"/>
    <w:basedOn w:val="TOCBase"/>
    <w:next w:val="Normal"/>
    <w:rsid w:val="003D2FF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D2FF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D2FF6"/>
    <w:rPr>
      <w:rFonts w:ascii="Times New Roman" w:eastAsia="Times New Roman" w:hAnsi="Times New Roman" w:cs="Times New Roman"/>
      <w:sz w:val="16"/>
      <w:lang w:eastAsia="en-US"/>
    </w:rPr>
  </w:style>
  <w:style w:type="paragraph" w:styleId="Title">
    <w:name w:val="Title"/>
    <w:basedOn w:val="HeadingBase"/>
    <w:link w:val="TitleChar"/>
    <w:qFormat/>
    <w:rsid w:val="003D2FF6"/>
    <w:pPr>
      <w:spacing w:before="5040"/>
      <w:jc w:val="center"/>
    </w:pPr>
    <w:rPr>
      <w:sz w:val="48"/>
      <w:szCs w:val="72"/>
      <w:lang w:val="en-US"/>
    </w:rPr>
  </w:style>
  <w:style w:type="character" w:customStyle="1" w:styleId="TitleChar">
    <w:name w:val="Title Char"/>
    <w:basedOn w:val="DefaultParagraphFont"/>
    <w:link w:val="Title"/>
    <w:rsid w:val="003D2FF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D2FF6"/>
    <w:pPr>
      <w:tabs>
        <w:tab w:val="left" w:pos="3600"/>
        <w:tab w:val="left" w:pos="3958"/>
      </w:tabs>
    </w:pPr>
  </w:style>
  <w:style w:type="paragraph" w:styleId="List">
    <w:name w:val="List"/>
    <w:basedOn w:val="BodyText"/>
    <w:next w:val="BodyText"/>
    <w:rsid w:val="003D2FF6"/>
    <w:pPr>
      <w:tabs>
        <w:tab w:val="left" w:pos="340"/>
      </w:tabs>
      <w:spacing w:before="60" w:after="60"/>
      <w:ind w:left="340" w:hanging="340"/>
    </w:pPr>
  </w:style>
  <w:style w:type="paragraph" w:customStyle="1" w:styleId="Note">
    <w:name w:val="Note"/>
    <w:basedOn w:val="BodyText"/>
    <w:rsid w:val="003D2FF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D2FF6"/>
    <w:pPr>
      <w:framePr w:wrap="auto" w:hAnchor="text" w:y="6049"/>
    </w:pPr>
    <w:rPr>
      <w:color w:val="000000"/>
      <w:sz w:val="40"/>
    </w:rPr>
  </w:style>
  <w:style w:type="paragraph" w:customStyle="1" w:styleId="TOCTitle">
    <w:name w:val="TOCTitle"/>
    <w:basedOn w:val="Heading1"/>
    <w:rsid w:val="003D2FF6"/>
    <w:pPr>
      <w:spacing w:after="240"/>
      <w:jc w:val="center"/>
      <w:outlineLvl w:val="9"/>
    </w:pPr>
    <w:rPr>
      <w:caps/>
    </w:rPr>
  </w:style>
  <w:style w:type="paragraph" w:customStyle="1" w:styleId="Version">
    <w:name w:val="Version"/>
    <w:rsid w:val="003D2FF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D2FF6"/>
    <w:pPr>
      <w:numPr>
        <w:numId w:val="12"/>
      </w:numPr>
      <w:tabs>
        <w:tab w:val="clear" w:pos="680"/>
      </w:tabs>
    </w:pPr>
  </w:style>
  <w:style w:type="paragraph" w:styleId="Index1">
    <w:name w:val="index 1"/>
    <w:basedOn w:val="Normal"/>
    <w:next w:val="Normal"/>
    <w:semiHidden/>
    <w:rsid w:val="003D2FF6"/>
    <w:pPr>
      <w:keepNext w:val="0"/>
      <w:tabs>
        <w:tab w:val="right" w:pos="4176"/>
      </w:tabs>
      <w:ind w:left="198" w:hanging="198"/>
    </w:pPr>
    <w:rPr>
      <w:rFonts w:ascii="Garamond" w:hAnsi="Garamond"/>
    </w:rPr>
  </w:style>
  <w:style w:type="paragraph" w:styleId="IndexHeading">
    <w:name w:val="index heading"/>
    <w:basedOn w:val="Normal"/>
    <w:next w:val="Index1"/>
    <w:semiHidden/>
    <w:rsid w:val="003D2FF6"/>
    <w:pPr>
      <w:spacing w:before="120" w:after="120"/>
    </w:pPr>
    <w:rPr>
      <w:rFonts w:ascii="Arial" w:hAnsi="Arial"/>
      <w:b/>
      <w:color w:val="918585"/>
      <w:sz w:val="24"/>
    </w:rPr>
  </w:style>
  <w:style w:type="paragraph" w:styleId="Header">
    <w:name w:val="header"/>
    <w:basedOn w:val="Normal"/>
    <w:link w:val="HeaderChar"/>
    <w:rsid w:val="003D2FF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D2FF6"/>
    <w:rPr>
      <w:rFonts w:ascii="Times New Roman" w:eastAsia="Times New Roman" w:hAnsi="Times New Roman" w:cs="Times New Roman"/>
      <w:sz w:val="16"/>
      <w:szCs w:val="20"/>
      <w:lang w:val="en-GB" w:eastAsia="en-US"/>
    </w:rPr>
  </w:style>
  <w:style w:type="paragraph" w:customStyle="1" w:styleId="Chapter">
    <w:name w:val="Chapter"/>
    <w:basedOn w:val="Normal"/>
    <w:rsid w:val="003D2FF6"/>
    <w:pPr>
      <w:spacing w:before="240"/>
    </w:pPr>
    <w:rPr>
      <w:rFonts w:ascii="Times New Roman" w:hAnsi="Times New Roman"/>
      <w:smallCaps/>
      <w:spacing w:val="80"/>
      <w:sz w:val="28"/>
    </w:rPr>
  </w:style>
  <w:style w:type="paragraph" w:customStyle="1" w:styleId="InChapter">
    <w:name w:val="InChapter"/>
    <w:basedOn w:val="Heading3"/>
    <w:rsid w:val="003D2FF6"/>
    <w:pPr>
      <w:spacing w:after="240"/>
      <w:outlineLvl w:val="9"/>
    </w:pPr>
    <w:rPr>
      <w:noProof/>
    </w:rPr>
  </w:style>
  <w:style w:type="paragraph" w:styleId="Index2">
    <w:name w:val="index 2"/>
    <w:basedOn w:val="Normal"/>
    <w:next w:val="Normal"/>
    <w:semiHidden/>
    <w:rsid w:val="003D2FF6"/>
    <w:pPr>
      <w:tabs>
        <w:tab w:val="right" w:pos="4176"/>
      </w:tabs>
      <w:ind w:left="568" w:hanging="284"/>
    </w:pPr>
    <w:rPr>
      <w:rFonts w:ascii="Garamond" w:hAnsi="Garamond"/>
    </w:rPr>
  </w:style>
  <w:style w:type="paragraph" w:customStyle="1" w:styleId="Byline">
    <w:name w:val="Byline"/>
    <w:rsid w:val="003D2FF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D2FF6"/>
    <w:pPr>
      <w:tabs>
        <w:tab w:val="clear" w:pos="3600"/>
        <w:tab w:val="clear" w:pos="3958"/>
      </w:tabs>
      <w:jc w:val="right"/>
    </w:pPr>
  </w:style>
  <w:style w:type="paragraph" w:styleId="Caption">
    <w:name w:val="caption"/>
    <w:basedOn w:val="BodyText"/>
    <w:next w:val="Normal"/>
    <w:qFormat/>
    <w:rsid w:val="003D2FF6"/>
    <w:pPr>
      <w:framePr w:w="2268" w:hSpace="181" w:vSpace="181" w:wrap="around" w:vAnchor="text" w:hAnchor="page" w:x="1135" w:y="285" w:anchorLock="1"/>
    </w:pPr>
    <w:rPr>
      <w:i/>
    </w:rPr>
  </w:style>
  <w:style w:type="paragraph" w:customStyle="1" w:styleId="MiniTOCTitle">
    <w:name w:val="MiniTOCTitle"/>
    <w:basedOn w:val="Heading4"/>
    <w:rsid w:val="003D2FF6"/>
    <w:pPr>
      <w:spacing w:before="240"/>
      <w:outlineLvl w:val="9"/>
    </w:pPr>
    <w:rPr>
      <w:noProof/>
      <w:sz w:val="24"/>
    </w:rPr>
  </w:style>
  <w:style w:type="paragraph" w:customStyle="1" w:styleId="MiniTOCItem">
    <w:name w:val="MiniTOCItem"/>
    <w:basedOn w:val="ListBullet"/>
    <w:rsid w:val="003D2FF6"/>
    <w:pPr>
      <w:numPr>
        <w:numId w:val="0"/>
      </w:numPr>
      <w:tabs>
        <w:tab w:val="right" w:leader="dot" w:pos="6521"/>
      </w:tabs>
      <w:spacing w:before="0" w:after="0"/>
    </w:pPr>
  </w:style>
  <w:style w:type="paragraph" w:customStyle="1" w:styleId="TOFTitle">
    <w:name w:val="TOFTitle"/>
    <w:basedOn w:val="TOCTitle"/>
    <w:rsid w:val="003D2FF6"/>
  </w:style>
  <w:style w:type="paragraph" w:styleId="TableofFigures">
    <w:name w:val="table of figures"/>
    <w:basedOn w:val="Normal"/>
    <w:next w:val="Normal"/>
    <w:semiHidden/>
    <w:rsid w:val="003D2FF6"/>
    <w:pPr>
      <w:tabs>
        <w:tab w:val="right" w:leader="dot" w:pos="9072"/>
      </w:tabs>
      <w:ind w:left="970" w:hanging="403"/>
    </w:pPr>
    <w:rPr>
      <w:rFonts w:ascii="Times New Roman" w:hAnsi="Times New Roman"/>
      <w:b/>
    </w:rPr>
  </w:style>
  <w:style w:type="paragraph" w:styleId="ListNumber">
    <w:name w:val="List Number"/>
    <w:basedOn w:val="List"/>
    <w:rsid w:val="003D2FF6"/>
    <w:pPr>
      <w:numPr>
        <w:numId w:val="14"/>
      </w:numPr>
      <w:tabs>
        <w:tab w:val="clear" w:pos="340"/>
      </w:tabs>
    </w:pPr>
  </w:style>
  <w:style w:type="character" w:customStyle="1" w:styleId="WingdingSymbols">
    <w:name w:val="Wingding Symbols"/>
    <w:rsid w:val="003D2FF6"/>
    <w:rPr>
      <w:rFonts w:ascii="Wingdings" w:hAnsi="Wingdings"/>
    </w:rPr>
  </w:style>
  <w:style w:type="paragraph" w:customStyle="1" w:styleId="TableHeading">
    <w:name w:val="Table Heading"/>
    <w:basedOn w:val="HeadingBase"/>
    <w:rsid w:val="003D2FF6"/>
    <w:pPr>
      <w:keepLines/>
      <w:pBdr>
        <w:bottom w:val="single" w:sz="6" w:space="1" w:color="918585"/>
      </w:pBdr>
      <w:spacing w:before="240"/>
    </w:pPr>
  </w:style>
  <w:style w:type="character" w:customStyle="1" w:styleId="HotSpot">
    <w:name w:val="HotSpot"/>
    <w:rsid w:val="003D2FF6"/>
    <w:rPr>
      <w:color w:val="0033CC"/>
      <w:u w:val="none"/>
    </w:rPr>
  </w:style>
  <w:style w:type="paragraph" w:customStyle="1" w:styleId="BodyTextRight">
    <w:name w:val="Body Text Right"/>
    <w:basedOn w:val="BodyText"/>
    <w:rsid w:val="003D2FF6"/>
    <w:pPr>
      <w:spacing w:before="0" w:after="0"/>
      <w:jc w:val="right"/>
    </w:pPr>
  </w:style>
  <w:style w:type="paragraph" w:styleId="Index3">
    <w:name w:val="index 3"/>
    <w:basedOn w:val="ListNumber2"/>
    <w:next w:val="Normal"/>
    <w:semiHidden/>
    <w:rsid w:val="003D2FF6"/>
    <w:pPr>
      <w:numPr>
        <w:numId w:val="0"/>
      </w:numPr>
      <w:tabs>
        <w:tab w:val="right" w:leader="dot" w:pos="4176"/>
      </w:tabs>
    </w:pPr>
  </w:style>
  <w:style w:type="paragraph" w:styleId="ListNumber2">
    <w:name w:val="List Number 2"/>
    <w:basedOn w:val="List2"/>
    <w:rsid w:val="003D2FF6"/>
    <w:pPr>
      <w:numPr>
        <w:numId w:val="9"/>
      </w:numPr>
      <w:tabs>
        <w:tab w:val="clear" w:pos="1060"/>
      </w:tabs>
    </w:pPr>
  </w:style>
  <w:style w:type="paragraph" w:customStyle="1" w:styleId="MarginNote">
    <w:name w:val="Margin Note"/>
    <w:basedOn w:val="BodyText"/>
    <w:rsid w:val="003D2FF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D2FF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D2FF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D2FF6"/>
    <w:rPr>
      <w:sz w:val="32"/>
    </w:rPr>
  </w:style>
  <w:style w:type="paragraph" w:customStyle="1" w:styleId="HeadingProcedure">
    <w:name w:val="Heading Procedure"/>
    <w:basedOn w:val="HeadingBase"/>
    <w:next w:val="Normal"/>
    <w:rsid w:val="003D2FF6"/>
    <w:pPr>
      <w:tabs>
        <w:tab w:val="left" w:pos="0"/>
      </w:tabs>
      <w:spacing w:before="120" w:after="60"/>
    </w:pPr>
    <w:rPr>
      <w:i/>
      <w:color w:val="918585"/>
      <w:sz w:val="22"/>
    </w:rPr>
  </w:style>
  <w:style w:type="paragraph" w:customStyle="1" w:styleId="TableBodyText">
    <w:name w:val="Table Body Text"/>
    <w:basedOn w:val="BodyText"/>
    <w:rsid w:val="003D2FF6"/>
    <w:pPr>
      <w:spacing w:before="60" w:after="60"/>
    </w:pPr>
  </w:style>
  <w:style w:type="paragraph" w:styleId="ListContinue">
    <w:name w:val="List Continue"/>
    <w:basedOn w:val="List"/>
    <w:rsid w:val="003D2FF6"/>
    <w:pPr>
      <w:ind w:firstLine="0"/>
    </w:pPr>
  </w:style>
  <w:style w:type="paragraph" w:customStyle="1" w:styleId="ListNote">
    <w:name w:val="List Note"/>
    <w:basedOn w:val="List"/>
    <w:rsid w:val="003D2FF6"/>
    <w:pPr>
      <w:pBdr>
        <w:top w:val="single" w:sz="6" w:space="2" w:color="918585"/>
        <w:bottom w:val="single" w:sz="6" w:space="2" w:color="918585"/>
      </w:pBdr>
      <w:tabs>
        <w:tab w:val="left" w:pos="1021"/>
      </w:tabs>
      <w:ind w:firstLine="0"/>
    </w:pPr>
  </w:style>
  <w:style w:type="paragraph" w:customStyle="1" w:styleId="Warning">
    <w:name w:val="Warning"/>
    <w:basedOn w:val="BodyText"/>
    <w:rsid w:val="003D2FF6"/>
    <w:pPr>
      <w:shd w:val="clear" w:color="auto" w:fill="D9D9D9"/>
      <w:tabs>
        <w:tab w:val="left" w:pos="992"/>
      </w:tabs>
      <w:ind w:left="119" w:right="119"/>
    </w:pPr>
    <w:rPr>
      <w:sz w:val="20"/>
    </w:rPr>
  </w:style>
  <w:style w:type="paragraph" w:customStyle="1" w:styleId="MarginIcons">
    <w:name w:val="Margin Icons"/>
    <w:basedOn w:val="BodyText"/>
    <w:rsid w:val="003D2FF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D2FF6"/>
    <w:rPr>
      <w:rFonts w:ascii="Courier New" w:hAnsi="Courier New"/>
    </w:rPr>
  </w:style>
  <w:style w:type="paragraph" w:customStyle="1" w:styleId="NoteBullet">
    <w:name w:val="Note Bullet"/>
    <w:basedOn w:val="Note"/>
    <w:rsid w:val="003D2FF6"/>
    <w:pPr>
      <w:tabs>
        <w:tab w:val="clear" w:pos="680"/>
      </w:tabs>
      <w:spacing w:before="60" w:after="60"/>
    </w:pPr>
  </w:style>
  <w:style w:type="paragraph" w:customStyle="1" w:styleId="SubHeading2">
    <w:name w:val="SubHeading2"/>
    <w:basedOn w:val="HeadingBase"/>
    <w:rsid w:val="003D2FF6"/>
    <w:pPr>
      <w:spacing w:before="240" w:after="60"/>
    </w:pPr>
    <w:rPr>
      <w:sz w:val="20"/>
    </w:rPr>
  </w:style>
  <w:style w:type="paragraph" w:customStyle="1" w:styleId="SubHeading1">
    <w:name w:val="SubHeading1"/>
    <w:basedOn w:val="HeadingBase"/>
    <w:rsid w:val="003D2FF6"/>
    <w:pPr>
      <w:spacing w:before="240" w:after="60"/>
    </w:pPr>
    <w:rPr>
      <w:color w:val="918585"/>
      <w:sz w:val="22"/>
    </w:rPr>
  </w:style>
  <w:style w:type="paragraph" w:customStyle="1" w:styleId="SideHeading">
    <w:name w:val="Side Heading"/>
    <w:basedOn w:val="HeadingBase"/>
    <w:rsid w:val="003D2FF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D2FF6"/>
    <w:pPr>
      <w:numPr>
        <w:numId w:val="10"/>
      </w:numPr>
    </w:pPr>
  </w:style>
  <w:style w:type="paragraph" w:styleId="PlainText">
    <w:name w:val="Plain Text"/>
    <w:basedOn w:val="Normal"/>
    <w:link w:val="PlainTextChar"/>
    <w:rsid w:val="003D2FF6"/>
    <w:rPr>
      <w:sz w:val="20"/>
    </w:rPr>
  </w:style>
  <w:style w:type="character" w:customStyle="1" w:styleId="PlainTextChar">
    <w:name w:val="Plain Text Char"/>
    <w:basedOn w:val="DefaultParagraphFont"/>
    <w:link w:val="PlainText"/>
    <w:rsid w:val="003D2FF6"/>
    <w:rPr>
      <w:rFonts w:ascii="Courier New" w:eastAsia="Times New Roman" w:hAnsi="Courier New" w:cs="Times New Roman"/>
      <w:sz w:val="20"/>
      <w:szCs w:val="20"/>
      <w:lang w:eastAsia="en-US"/>
    </w:rPr>
  </w:style>
  <w:style w:type="character" w:customStyle="1" w:styleId="MenuOption">
    <w:name w:val="Menu Option"/>
    <w:basedOn w:val="DefaultParagraphFont"/>
    <w:rsid w:val="003D2FF6"/>
    <w:rPr>
      <w:b/>
      <w:smallCaps/>
    </w:rPr>
  </w:style>
  <w:style w:type="paragraph" w:customStyle="1" w:styleId="TableListNumber">
    <w:name w:val="Table List Number"/>
    <w:basedOn w:val="ListNumber"/>
    <w:rsid w:val="003D2FF6"/>
    <w:pPr>
      <w:numPr>
        <w:numId w:val="0"/>
      </w:numPr>
    </w:pPr>
  </w:style>
  <w:style w:type="paragraph" w:styleId="TOC4">
    <w:name w:val="toc 4"/>
    <w:basedOn w:val="TOCBase"/>
    <w:next w:val="Normal"/>
    <w:semiHidden/>
    <w:rsid w:val="003D2FF6"/>
    <w:pPr>
      <w:tabs>
        <w:tab w:val="right" w:leader="dot" w:pos="9071"/>
      </w:tabs>
      <w:ind w:left="1701"/>
    </w:pPr>
  </w:style>
  <w:style w:type="paragraph" w:customStyle="1" w:styleId="ListAlpha">
    <w:name w:val="List Alpha"/>
    <w:basedOn w:val="List"/>
    <w:rsid w:val="003D2FF6"/>
    <w:pPr>
      <w:numPr>
        <w:numId w:val="8"/>
      </w:numPr>
    </w:pPr>
  </w:style>
  <w:style w:type="paragraph" w:customStyle="1" w:styleId="ListAlpha2">
    <w:name w:val="List Alpha 2"/>
    <w:basedOn w:val="List2"/>
    <w:rsid w:val="003D2FF6"/>
    <w:pPr>
      <w:numPr>
        <w:numId w:val="7"/>
      </w:numPr>
    </w:pPr>
  </w:style>
  <w:style w:type="paragraph" w:styleId="List2">
    <w:name w:val="List 2"/>
    <w:basedOn w:val="BodyText"/>
    <w:rsid w:val="003D2FF6"/>
    <w:pPr>
      <w:tabs>
        <w:tab w:val="left" w:pos="680"/>
      </w:tabs>
      <w:spacing w:before="60" w:after="60"/>
      <w:ind w:left="680" w:hanging="340"/>
    </w:pPr>
  </w:style>
  <w:style w:type="paragraph" w:styleId="List3">
    <w:name w:val="List 3"/>
    <w:basedOn w:val="BodyText"/>
    <w:rsid w:val="003D2FF6"/>
    <w:pPr>
      <w:tabs>
        <w:tab w:val="left" w:pos="1021"/>
      </w:tabs>
      <w:spacing w:before="60" w:after="60"/>
      <w:ind w:left="1020" w:hanging="340"/>
    </w:pPr>
  </w:style>
  <w:style w:type="paragraph" w:styleId="List4">
    <w:name w:val="List 4"/>
    <w:basedOn w:val="BodyText"/>
    <w:rsid w:val="003D2FF6"/>
    <w:pPr>
      <w:tabs>
        <w:tab w:val="left" w:pos="1361"/>
      </w:tabs>
      <w:spacing w:before="60" w:after="60"/>
      <w:ind w:left="1361" w:hanging="340"/>
    </w:pPr>
  </w:style>
  <w:style w:type="paragraph" w:styleId="List5">
    <w:name w:val="List 5"/>
    <w:basedOn w:val="BodyText"/>
    <w:rsid w:val="003D2FF6"/>
    <w:pPr>
      <w:tabs>
        <w:tab w:val="left" w:pos="1701"/>
      </w:tabs>
      <w:spacing w:before="60" w:after="60"/>
      <w:ind w:left="1701" w:hanging="340"/>
    </w:pPr>
  </w:style>
  <w:style w:type="paragraph" w:styleId="ListBullet3">
    <w:name w:val="List Bullet 3"/>
    <w:basedOn w:val="List3"/>
    <w:rsid w:val="003D2FF6"/>
    <w:pPr>
      <w:numPr>
        <w:numId w:val="13"/>
      </w:numPr>
      <w:tabs>
        <w:tab w:val="clear" w:pos="1021"/>
      </w:tabs>
      <w:ind w:left="1037" w:hanging="357"/>
    </w:pPr>
  </w:style>
  <w:style w:type="paragraph" w:styleId="ListBullet4">
    <w:name w:val="List Bullet 4"/>
    <w:basedOn w:val="List4"/>
    <w:rsid w:val="003D2FF6"/>
    <w:pPr>
      <w:numPr>
        <w:numId w:val="2"/>
      </w:numPr>
      <w:tabs>
        <w:tab w:val="clear" w:pos="1361"/>
      </w:tabs>
    </w:pPr>
  </w:style>
  <w:style w:type="paragraph" w:styleId="ListBullet5">
    <w:name w:val="List Bullet 5"/>
    <w:basedOn w:val="List5"/>
    <w:rsid w:val="003D2FF6"/>
    <w:pPr>
      <w:numPr>
        <w:numId w:val="3"/>
      </w:numPr>
    </w:pPr>
  </w:style>
  <w:style w:type="paragraph" w:styleId="ListContinue2">
    <w:name w:val="List Continue 2"/>
    <w:basedOn w:val="List2"/>
    <w:rsid w:val="003D2FF6"/>
    <w:pPr>
      <w:ind w:firstLine="0"/>
    </w:pPr>
  </w:style>
  <w:style w:type="paragraph" w:styleId="ListContinue3">
    <w:name w:val="List Continue 3"/>
    <w:basedOn w:val="List3"/>
    <w:rsid w:val="003D2FF6"/>
    <w:pPr>
      <w:ind w:left="1021" w:firstLine="0"/>
    </w:pPr>
  </w:style>
  <w:style w:type="paragraph" w:styleId="ListContinue4">
    <w:name w:val="List Continue 4"/>
    <w:basedOn w:val="List4"/>
    <w:rsid w:val="003D2FF6"/>
    <w:pPr>
      <w:ind w:firstLine="0"/>
    </w:pPr>
  </w:style>
  <w:style w:type="paragraph" w:styleId="ListContinue5">
    <w:name w:val="List Continue 5"/>
    <w:basedOn w:val="List5"/>
    <w:rsid w:val="003D2FF6"/>
    <w:pPr>
      <w:ind w:firstLine="0"/>
    </w:pPr>
  </w:style>
  <w:style w:type="paragraph" w:styleId="ListNumber3">
    <w:name w:val="List Number 3"/>
    <w:basedOn w:val="List3"/>
    <w:rsid w:val="003D2FF6"/>
    <w:pPr>
      <w:numPr>
        <w:numId w:val="4"/>
      </w:numPr>
    </w:pPr>
  </w:style>
  <w:style w:type="paragraph" w:styleId="ListNumber4">
    <w:name w:val="List Number 4"/>
    <w:basedOn w:val="List4"/>
    <w:rsid w:val="003D2FF6"/>
    <w:pPr>
      <w:numPr>
        <w:numId w:val="5"/>
      </w:numPr>
    </w:pPr>
  </w:style>
  <w:style w:type="paragraph" w:styleId="ListNumber5">
    <w:name w:val="List Number 5"/>
    <w:basedOn w:val="List5"/>
    <w:rsid w:val="003D2FF6"/>
    <w:pPr>
      <w:numPr>
        <w:numId w:val="6"/>
      </w:numPr>
    </w:pPr>
  </w:style>
  <w:style w:type="paragraph" w:styleId="BlockText">
    <w:name w:val="Block Text"/>
    <w:basedOn w:val="Normal"/>
    <w:rsid w:val="003D2FF6"/>
    <w:pPr>
      <w:spacing w:after="120"/>
      <w:ind w:left="1440" w:right="1440"/>
    </w:pPr>
  </w:style>
  <w:style w:type="character" w:customStyle="1" w:styleId="Subscript">
    <w:name w:val="Subscript"/>
    <w:basedOn w:val="DefaultParagraphFont"/>
    <w:rsid w:val="003D2FF6"/>
    <w:rPr>
      <w:sz w:val="16"/>
      <w:vertAlign w:val="subscript"/>
    </w:rPr>
  </w:style>
  <w:style w:type="character" w:customStyle="1" w:styleId="Superscript">
    <w:name w:val="Superscript"/>
    <w:basedOn w:val="DefaultParagraphFont"/>
    <w:rsid w:val="003D2FF6"/>
    <w:rPr>
      <w:sz w:val="16"/>
      <w:vertAlign w:val="superscript"/>
    </w:rPr>
  </w:style>
  <w:style w:type="character" w:customStyle="1" w:styleId="Symbols">
    <w:name w:val="Symbols"/>
    <w:basedOn w:val="DefaultParagraphFont"/>
    <w:rsid w:val="003D2FF6"/>
    <w:rPr>
      <w:rFonts w:ascii="Symbol" w:hAnsi="Symbol"/>
    </w:rPr>
  </w:style>
  <w:style w:type="character" w:customStyle="1" w:styleId="MenuOptions">
    <w:name w:val="Menu Options"/>
    <w:basedOn w:val="DefaultParagraphFont"/>
    <w:rsid w:val="003D2FF6"/>
    <w:rPr>
      <w:rFonts w:ascii="Arial Narrow" w:hAnsi="Arial Narrow"/>
      <w:smallCaps/>
    </w:rPr>
  </w:style>
  <w:style w:type="character" w:customStyle="1" w:styleId="Buttons">
    <w:name w:val="Buttons"/>
    <w:basedOn w:val="DefaultParagraphFont"/>
    <w:rsid w:val="003D2FF6"/>
    <w:rPr>
      <w:b/>
    </w:rPr>
  </w:style>
  <w:style w:type="character" w:customStyle="1" w:styleId="Underlined">
    <w:name w:val="Underlined"/>
    <w:basedOn w:val="DefaultParagraphFont"/>
    <w:rsid w:val="003D2FF6"/>
    <w:rPr>
      <w:u w:val="single"/>
    </w:rPr>
  </w:style>
  <w:style w:type="paragraph" w:customStyle="1" w:styleId="TableBodyTextRight">
    <w:name w:val="Table Body Text Right"/>
    <w:basedOn w:val="TableBodyText"/>
    <w:rsid w:val="003D2FF6"/>
    <w:pPr>
      <w:widowControl w:val="0"/>
      <w:autoSpaceDE w:val="0"/>
      <w:autoSpaceDN w:val="0"/>
      <w:adjustRightInd w:val="0"/>
      <w:jc w:val="right"/>
    </w:pPr>
    <w:rPr>
      <w:rFonts w:cs="Arial"/>
      <w:szCs w:val="18"/>
    </w:rPr>
  </w:style>
  <w:style w:type="paragraph" w:customStyle="1" w:styleId="CopyrightText">
    <w:name w:val="Copyright Text"/>
    <w:basedOn w:val="BodyText"/>
    <w:rsid w:val="003D2FF6"/>
    <w:rPr>
      <w:sz w:val="18"/>
    </w:rPr>
  </w:style>
  <w:style w:type="paragraph" w:customStyle="1" w:styleId="BodySmallRight">
    <w:name w:val="Body Small Right"/>
    <w:basedOn w:val="BodyTextRight"/>
    <w:rsid w:val="003D2FF6"/>
    <w:rPr>
      <w:sz w:val="18"/>
      <w:szCs w:val="18"/>
    </w:rPr>
  </w:style>
  <w:style w:type="paragraph" w:customStyle="1" w:styleId="MarginEdition">
    <w:name w:val="Margin Edition"/>
    <w:basedOn w:val="MarginNote"/>
    <w:rsid w:val="003D2FF6"/>
    <w:pPr>
      <w:spacing w:before="0" w:after="0"/>
    </w:pPr>
    <w:rPr>
      <w:rFonts w:ascii="Times New Roman" w:hAnsi="Times New Roman"/>
      <w:color w:val="999999"/>
    </w:rPr>
  </w:style>
  <w:style w:type="paragraph" w:customStyle="1" w:styleId="Spacer">
    <w:name w:val="Spacer"/>
    <w:basedOn w:val="Normal"/>
    <w:rsid w:val="003D2FF6"/>
    <w:rPr>
      <w:sz w:val="2"/>
      <w:szCs w:val="2"/>
    </w:rPr>
  </w:style>
  <w:style w:type="character" w:customStyle="1" w:styleId="Small">
    <w:name w:val="Small"/>
    <w:basedOn w:val="DefaultParagraphFont"/>
    <w:rsid w:val="003D2FF6"/>
    <w:rPr>
      <w:sz w:val="16"/>
    </w:rPr>
  </w:style>
  <w:style w:type="paragraph" w:customStyle="1" w:styleId="WideTable">
    <w:name w:val="Wide Table"/>
    <w:basedOn w:val="Normal"/>
    <w:rsid w:val="003D2FF6"/>
    <w:pPr>
      <w:ind w:left="-1418"/>
    </w:pPr>
    <w:rPr>
      <w:sz w:val="2"/>
      <w:szCs w:val="2"/>
    </w:rPr>
  </w:style>
  <w:style w:type="character" w:styleId="PageNumber">
    <w:name w:val="page number"/>
    <w:basedOn w:val="DefaultParagraphFont"/>
    <w:rsid w:val="003D2FF6"/>
  </w:style>
  <w:style w:type="paragraph" w:styleId="Quote">
    <w:name w:val="Quote"/>
    <w:basedOn w:val="Heading1"/>
    <w:link w:val="QuoteChar"/>
    <w:qFormat/>
    <w:rsid w:val="003D2FF6"/>
    <w:rPr>
      <w:b w:val="0"/>
      <w:sz w:val="72"/>
      <w:szCs w:val="72"/>
      <w:lang w:val="en-NZ"/>
    </w:rPr>
  </w:style>
  <w:style w:type="character" w:customStyle="1" w:styleId="QuoteChar">
    <w:name w:val="Quote Char"/>
    <w:basedOn w:val="DefaultParagraphFont"/>
    <w:link w:val="Quote"/>
    <w:rsid w:val="003D2FF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D2FF6"/>
    <w:pPr>
      <w:pageBreakBefore/>
    </w:pPr>
  </w:style>
  <w:style w:type="paragraph" w:customStyle="1" w:styleId="Border">
    <w:name w:val="Border"/>
    <w:basedOn w:val="Normal"/>
    <w:qFormat/>
    <w:rsid w:val="003D2FF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D2FF6"/>
    <w:rPr>
      <w:b/>
      <w:bCs/>
      <w:i/>
      <w:iCs/>
      <w:color w:val="auto"/>
    </w:rPr>
  </w:style>
  <w:style w:type="paragraph" w:styleId="IntenseQuote">
    <w:name w:val="Intense Quote"/>
    <w:basedOn w:val="Normal"/>
    <w:next w:val="Normal"/>
    <w:link w:val="IntenseQuoteChar"/>
    <w:uiPriority w:val="30"/>
    <w:qFormat/>
    <w:rsid w:val="003D2FF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D2FF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D2FF6"/>
    <w:rPr>
      <w:smallCaps/>
      <w:color w:val="auto"/>
      <w:u w:val="single"/>
    </w:rPr>
  </w:style>
  <w:style w:type="character" w:styleId="IntenseReference">
    <w:name w:val="Intense Reference"/>
    <w:basedOn w:val="DefaultParagraphFont"/>
    <w:uiPriority w:val="32"/>
    <w:qFormat/>
    <w:rsid w:val="003D2FF6"/>
    <w:rPr>
      <w:b/>
      <w:bCs/>
      <w:smallCaps/>
      <w:color w:val="auto"/>
      <w:spacing w:val="5"/>
      <w:u w:val="single"/>
    </w:rPr>
  </w:style>
  <w:style w:type="paragraph" w:customStyle="1" w:styleId="2ColumnHeading">
    <w:name w:val="2Column Heading"/>
    <w:basedOn w:val="BodyText"/>
    <w:qFormat/>
    <w:rsid w:val="003D2FF6"/>
    <w:pPr>
      <w:spacing w:after="60"/>
      <w:ind w:left="-2268"/>
    </w:pPr>
    <w:rPr>
      <w:b/>
    </w:rPr>
  </w:style>
  <w:style w:type="paragraph" w:customStyle="1" w:styleId="Heading1TOC">
    <w:name w:val="Heading1 TOC"/>
    <w:basedOn w:val="Normal"/>
    <w:qFormat/>
    <w:rsid w:val="003D2FF6"/>
    <w:pPr>
      <w:spacing w:before="240" w:after="120"/>
    </w:pPr>
    <w:rPr>
      <w:rFonts w:ascii="Times New Roman" w:hAnsi="Times New Roman"/>
      <w:b/>
      <w:sz w:val="32"/>
    </w:rPr>
  </w:style>
  <w:style w:type="paragraph" w:customStyle="1" w:styleId="Heading2TOC">
    <w:name w:val="Heading2 TOC"/>
    <w:basedOn w:val="Normal"/>
    <w:qFormat/>
    <w:rsid w:val="003D2FF6"/>
    <w:pPr>
      <w:spacing w:before="240" w:after="60"/>
    </w:pPr>
    <w:rPr>
      <w:rFonts w:ascii="Times New Roman" w:hAnsi="Times New Roman"/>
      <w:b/>
      <w:sz w:val="28"/>
    </w:rPr>
  </w:style>
  <w:style w:type="character" w:customStyle="1" w:styleId="Underline">
    <w:name w:val="Underline"/>
    <w:basedOn w:val="DefaultParagraphFont"/>
    <w:qFormat/>
    <w:rsid w:val="003D2FF6"/>
    <w:rPr>
      <w:u w:val="single"/>
    </w:rPr>
  </w:style>
  <w:style w:type="character" w:customStyle="1" w:styleId="BoldandItalics">
    <w:name w:val="Bold and Italics"/>
    <w:qFormat/>
    <w:rsid w:val="003D2FF6"/>
    <w:rPr>
      <w:b/>
      <w:i/>
      <w:u w:val="none"/>
    </w:rPr>
  </w:style>
  <w:style w:type="paragraph" w:styleId="BalloonText">
    <w:name w:val="Balloon Text"/>
    <w:basedOn w:val="Normal"/>
    <w:link w:val="BalloonTextChar"/>
    <w:rsid w:val="003D2FF6"/>
    <w:rPr>
      <w:rFonts w:ascii="Tahoma" w:hAnsi="Tahoma" w:cs="Tahoma"/>
      <w:sz w:val="16"/>
      <w:szCs w:val="16"/>
    </w:rPr>
  </w:style>
  <w:style w:type="character" w:customStyle="1" w:styleId="BalloonTextChar">
    <w:name w:val="Balloon Text Char"/>
    <w:basedOn w:val="DefaultParagraphFont"/>
    <w:link w:val="BalloonText"/>
    <w:rsid w:val="003D2FF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D2FF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D2FF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D2FF6"/>
    <w:rPr>
      <w:b/>
      <w:color w:val="660033"/>
      <w:spacing w:val="0"/>
    </w:rPr>
  </w:style>
  <w:style w:type="paragraph" w:customStyle="1" w:styleId="Nameditemlist">
    <w:name w:val="Named item list"/>
    <w:basedOn w:val="BodyText"/>
    <w:qFormat/>
    <w:rsid w:val="003D2FF6"/>
    <w:pPr>
      <w:tabs>
        <w:tab w:val="left" w:pos="2835"/>
      </w:tabs>
      <w:ind w:left="2835" w:hanging="2835"/>
    </w:pPr>
  </w:style>
  <w:style w:type="paragraph" w:customStyle="1" w:styleId="BodyTextnopadding">
    <w:name w:val="Body Text no padding"/>
    <w:basedOn w:val="BodyText"/>
    <w:qFormat/>
    <w:rsid w:val="003D2FF6"/>
    <w:pPr>
      <w:spacing w:before="0" w:after="0"/>
    </w:pPr>
  </w:style>
  <w:style w:type="paragraph" w:customStyle="1" w:styleId="BodyTextBold">
    <w:name w:val="Body Text Bold"/>
    <w:basedOn w:val="BodyText"/>
    <w:qFormat/>
    <w:rsid w:val="003D2FF6"/>
    <w:rPr>
      <w:b/>
    </w:rPr>
  </w:style>
  <w:style w:type="character" w:styleId="Hyperlink">
    <w:name w:val="Hyperlink"/>
    <w:basedOn w:val="DefaultParagraphFont"/>
    <w:uiPriority w:val="99"/>
    <w:unhideWhenUsed/>
    <w:rsid w:val="00E328A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968</Words>
  <Characters>6433</Characters>
  <Application>Microsoft Office Word</Application>
  <DocSecurity>0</DocSecurity>
  <Lines>183</Lines>
  <Paragraphs>113</Paragraphs>
  <ScaleCrop>false</ScaleCrop>
  <Company>Author-it Software Corporation Ltd.</Company>
  <LinksUpToDate>false</LinksUpToDate>
  <CharactersWithSpaces>7288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TLIX4034 Apply technical risk management systems and techniques</dc:title>
  <dc:subject>Approved</dc:subject>
  <dc:creator>Industry Skills Australia</dc:creator>
  <cp:keywords>Release: 1</cp:keywords>
  <dc:description>Review Date: 12 April 2008</dc:description>
  <cp:lastModifiedBy>HSD_TPCMSd.prod</cp:lastModifiedBy>
  <cp:revision>3</cp:revision>
  <dcterms:created xsi:type="dcterms:W3CDTF">2025-03-02T01:35:00Z</dcterms:created>
  <dcterms:modified xsi:type="dcterms:W3CDTF">2025-03-02T01:35:00Z</dcterms:modified>
</cp:coreProperties>
</file>