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1F3" w:rsidP="006B5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TLIX4032 Apply knowledge of technical regulatory framework</w:t>
      </w:r>
      <w:r>
        <w:fldChar w:fldCharType="end"/>
      </w:r>
    </w:p>
    <w:p w:rsidR="006B51F3" w:rsidP="006B51F3">
      <w:pPr>
        <w:pStyle w:val="Version"/>
        <w:sectPr w:rsidSect="00A05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6E9" w:rsidP="00A056E9">
      <w:pPr>
        <w:pStyle w:val="SuperHeading"/>
      </w:pPr>
      <w:r w:rsidRPr="00A056E9">
        <w:t>TLIX4032 Apply knowledge of technical regulatory framework</w:t>
      </w:r>
    </w:p>
    <w:p w:rsidR="00000000" w:rsidRPr="00A056E9" w:rsidP="00A056E9">
      <w:pPr>
        <w:pStyle w:val="Heading1"/>
      </w:pPr>
      <w:bookmarkStart w:id="1" w:name="O_754715"/>
      <w:bookmarkEnd w:id="1"/>
      <w:r w:rsidRPr="00A056E9">
        <w:t>Modification History</w:t>
      </w:r>
    </w:p>
    <w:p w:rsidR="006B51F3" w:rsidP="006B51F3">
      <w:pPr>
        <w:pStyle w:val="BodyText"/>
      </w:pPr>
      <w:r w:rsidRPr="00A056E9">
        <w:t>Release 1. This is the first release of this unit of competency in the TLI Transport and Logistics Training Package.</w:t>
      </w:r>
    </w:p>
    <w:p w:rsidR="00000000" w:rsidRPr="00A056E9" w:rsidP="00A056E9">
      <w:pPr>
        <w:pStyle w:val="Heading1"/>
      </w:pPr>
      <w:bookmarkStart w:id="2" w:name="O_754716"/>
      <w:bookmarkEnd w:id="2"/>
      <w:r w:rsidRPr="00A056E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B5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6E9" w:rsidP="00A056E9">
            <w:pPr>
              <w:pStyle w:val="BodyText"/>
            </w:pPr>
            <w:r w:rsidRPr="00A056E9">
              <w:t>This unit involves the skills and knowledge required to analyse and appl</w:t>
            </w:r>
            <w:r w:rsidRPr="00A056E9">
              <w:t xml:space="preserve">y knowledge of the technical regulatory framework in accordance with relevant organisational policy and procedures. </w:t>
            </w:r>
          </w:p>
          <w:p w:rsidR="00000000" w:rsidRPr="00A056E9" w:rsidP="00A056E9">
            <w:pPr>
              <w:pStyle w:val="BodyText"/>
            </w:pPr>
            <w:r w:rsidRPr="00A056E9">
              <w:t>The application of this knowledge is required by people who are not specialists of the technical regulatory framework but need the knowledg</w:t>
            </w:r>
            <w:r w:rsidRPr="00A056E9">
              <w:t xml:space="preserve">e to inform their decision making. The application of technical regulatory framework knowledge is specific to a variety of component processes in material logistics activities. </w:t>
            </w:r>
          </w:p>
          <w:p w:rsidR="00000000" w:rsidRPr="00A056E9" w:rsidP="00A056E9">
            <w:pPr>
              <w:pStyle w:val="BodyText"/>
            </w:pPr>
            <w:r w:rsidRPr="00A056E9">
              <w:t>This unit was developed for logistics specialists working within materiel logi</w:t>
            </w:r>
            <w:r w:rsidRPr="00A056E9">
              <w:t>stics but is applicable to individuals in broader logistics roles.</w:t>
            </w:r>
          </w:p>
          <w:p w:rsidR="00000000" w:rsidRPr="00A056E9" w:rsidP="00A056E9">
            <w:pPr>
              <w:pStyle w:val="BodyText"/>
            </w:pPr>
            <w:r w:rsidRPr="00A056E9">
              <w:t xml:space="preserve">Typically these individuals work independently or as part of a team under direct and/or indirect supervision, use discretion and judgement, and take responsibility for the quality of their </w:t>
            </w:r>
            <w:r w:rsidRPr="00A056E9">
              <w:t>outputs.</w:t>
            </w:r>
          </w:p>
          <w:p w:rsidR="00000000" w:rsidRPr="00A056E9" w:rsidP="00A056E9">
            <w:pPr>
              <w:pStyle w:val="BodyText"/>
            </w:pPr>
            <w:r w:rsidRPr="00A056E9">
              <w:t>No licensing, legislative or certification requirements apply to this unit at the time of publication.</w:t>
            </w:r>
          </w:p>
        </w:tc>
      </w:tr>
    </w:tbl>
    <w:p w:rsidR="006B51F3" w:rsidP="00A056E9">
      <w:pPr>
        <w:pStyle w:val="BodyText"/>
      </w:pPr>
    </w:p>
    <w:p w:rsidR="006B51F3" w:rsidP="00A056E9">
      <w:pPr>
        <w:pStyle w:val="BodyText"/>
      </w:pPr>
    </w:p>
    <w:p w:rsidR="00000000" w:rsidRPr="00A056E9" w:rsidP="00A056E9">
      <w:pPr>
        <w:pStyle w:val="Heading1"/>
      </w:pPr>
      <w:bookmarkStart w:id="3" w:name="O_754717"/>
      <w:bookmarkEnd w:id="3"/>
      <w:r w:rsidRPr="00A056E9">
        <w:t>Pre-requisite Unit</w:t>
      </w:r>
    </w:p>
    <w:p w:rsidR="006B51F3" w:rsidP="006B51F3">
      <w:pPr>
        <w:pStyle w:val="BodyText"/>
      </w:pPr>
      <w:r w:rsidRPr="00A056E9">
        <w:t>Not applicable.</w:t>
      </w:r>
    </w:p>
    <w:p w:rsidR="00000000" w:rsidRPr="00A056E9" w:rsidP="00A056E9">
      <w:pPr>
        <w:pStyle w:val="Heading1"/>
      </w:pPr>
      <w:bookmarkStart w:id="4" w:name="O_754718"/>
      <w:bookmarkEnd w:id="4"/>
      <w:r w:rsidRPr="00A056E9">
        <w:t>Competency Field</w:t>
      </w:r>
    </w:p>
    <w:p w:rsidR="006B51F3" w:rsidP="006B51F3">
      <w:pPr>
        <w:pStyle w:val="BodyText"/>
      </w:pPr>
      <w:r w:rsidRPr="00A056E9">
        <w:t>X – Logistics</w:t>
      </w:r>
    </w:p>
    <w:p w:rsidR="00000000" w:rsidRPr="00A056E9" w:rsidP="00A056E9">
      <w:pPr>
        <w:pStyle w:val="Heading1"/>
      </w:pPr>
      <w:bookmarkStart w:id="5" w:name="O_754719"/>
      <w:bookmarkEnd w:id="5"/>
      <w:r w:rsidRPr="00A056E9">
        <w:t>Unit Sector</w:t>
      </w:r>
    </w:p>
    <w:p w:rsidR="006B51F3" w:rsidP="006B51F3">
      <w:pPr>
        <w:pStyle w:val="BodyText"/>
      </w:pPr>
      <w:r w:rsidRPr="00A056E9">
        <w:t>Not applicable.</w:t>
      </w:r>
    </w:p>
    <w:p w:rsidR="00000000" w:rsidRPr="00A056E9" w:rsidP="00A056E9">
      <w:pPr>
        <w:pStyle w:val="Heading1"/>
      </w:pPr>
      <w:bookmarkStart w:id="6" w:name="O_754720"/>
      <w:bookmarkEnd w:id="6"/>
      <w:r w:rsidRPr="00A056E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6B5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 xml:space="preserve">Elements describe the </w:t>
            </w:r>
            <w:r w:rsidRPr="00A056E9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 xml:space="preserve">Performance criteria describe the performance needed to demonstrate achievement of the </w:t>
            </w:r>
            <w:r w:rsidRPr="00A056E9">
              <w:t>element.</w:t>
            </w:r>
          </w:p>
        </w:tc>
      </w:tr>
      <w:tr w:rsidTr="006B5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6E9" w:rsidP="00A056E9">
            <w:pPr>
              <w:pStyle w:val="BodyText"/>
            </w:pPr>
            <w:r w:rsidRPr="00A056E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rPr>
                <w:rStyle w:val="SpecialBold"/>
              </w:rPr>
              <w:t>Access and interpret relevant technical regul</w:t>
            </w:r>
            <w:r w:rsidRPr="00A056E9">
              <w:rPr>
                <w:rStyle w:val="SpecialBold"/>
              </w:rPr>
              <w:t>atory framework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Relevant technical regulatory framework requirements are identified and obtained</w:t>
            </w:r>
          </w:p>
        </w:tc>
      </w:tr>
      <w:tr w:rsidTr="006B5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Technical regulatory information obtained is analysed to determine relevance and application to the organisation</w:t>
            </w:r>
          </w:p>
        </w:tc>
      </w:tr>
      <w:tr w:rsidTr="006B5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Outcomes of the analysis are documented and recommendations relevant to technical regulatory requirements are determined</w:t>
            </w:r>
          </w:p>
        </w:tc>
      </w:tr>
      <w:tr w:rsidTr="006B5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6E9" w:rsidP="00A056E9">
            <w:pPr>
              <w:pStyle w:val="BodyText"/>
            </w:pPr>
            <w:r w:rsidRPr="00A056E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rPr>
                <w:rStyle w:val="SpecialBold"/>
              </w:rPr>
              <w:t>Use knowledge of technical 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Technical regulatory requirements and recommendations relevant to materiel and m</w:t>
            </w:r>
            <w:r w:rsidRPr="00A056E9">
              <w:t>ateriel logistics are applied in accordance with organisational policy and procedures</w:t>
            </w:r>
          </w:p>
        </w:tc>
      </w:tr>
      <w:tr w:rsidTr="006B5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Effectiveness of recommendations is assessed, reviewed and recorded in accordance with organisational policy and procedures</w:t>
            </w:r>
          </w:p>
        </w:tc>
      </w:tr>
      <w:tr w:rsidTr="006B51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9">
            <w:pPr>
              <w:pStyle w:val="BodyText"/>
              <w:rPr>
                <w:lang w:val="en-NZ"/>
              </w:rPr>
            </w:pPr>
            <w:r w:rsidRPr="00A056E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6E9" w:rsidP="00A056E9">
            <w:pPr>
              <w:pStyle w:val="BodyText"/>
            </w:pPr>
            <w:r w:rsidRPr="00A056E9">
              <w:t>Recommendations are adjusted as required and documented for future application in accordance with organisational policy and procedures</w:t>
            </w:r>
          </w:p>
        </w:tc>
      </w:tr>
    </w:tbl>
    <w:p w:rsidR="006B51F3" w:rsidP="00A056E9">
      <w:pPr>
        <w:pStyle w:val="BodyText"/>
      </w:pPr>
    </w:p>
    <w:p w:rsidR="006B51F3" w:rsidP="00A056E9">
      <w:pPr>
        <w:pStyle w:val="BodyText"/>
      </w:pPr>
    </w:p>
    <w:p w:rsidR="00000000" w:rsidRPr="00A056E9" w:rsidP="00A056E9">
      <w:pPr>
        <w:pStyle w:val="Heading1"/>
      </w:pPr>
      <w:bookmarkStart w:id="7" w:name="O_754721"/>
      <w:bookmarkEnd w:id="7"/>
      <w:r w:rsidRPr="00A056E9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056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6E9" w:rsidP="00A056E9">
            <w:pPr>
              <w:pStyle w:val="BodyText"/>
            </w:pPr>
            <w:r w:rsidRPr="00A056E9">
              <w:t>Foundation skills essential to performance are explicit in the performance criteria of this unit of competency.</w:t>
            </w:r>
          </w:p>
        </w:tc>
      </w:tr>
    </w:tbl>
    <w:p w:rsidR="006B51F3" w:rsidP="00A056E9">
      <w:pPr>
        <w:pStyle w:val="BodyText"/>
      </w:pPr>
    </w:p>
    <w:p w:rsidR="006B51F3" w:rsidP="00A056E9">
      <w:pPr>
        <w:pStyle w:val="BodyText"/>
      </w:pPr>
    </w:p>
    <w:p w:rsidR="00000000" w:rsidRPr="00A056E9" w:rsidP="00A056E9">
      <w:pPr>
        <w:pStyle w:val="Heading1"/>
      </w:pPr>
      <w:bookmarkStart w:id="8" w:name="O_754722"/>
      <w:bookmarkEnd w:id="8"/>
      <w:r w:rsidRPr="00A056E9">
        <w:t>Range of Conditions</w:t>
      </w:r>
    </w:p>
    <w:p w:rsidR="00000000" w:rsidRPr="00A056E9" w:rsidP="006B51F3">
      <w:pPr>
        <w:pStyle w:val="BodyText"/>
      </w:pPr>
      <w:r w:rsidRPr="00A056E9">
        <w:t>Range is restricted to essential operating conditions and any other variables essential to the work envi</w:t>
      </w:r>
      <w:r w:rsidRPr="00A056E9">
        <w:t>ronment.</w:t>
      </w:r>
    </w:p>
    <w:p w:rsidR="006B51F3" w:rsidP="006B51F3">
      <w:pPr>
        <w:pStyle w:val="BodyText"/>
      </w:pPr>
      <w:r w:rsidRPr="00A056E9">
        <w:t>Non-essential conditions can be found in the Companion Volume Implementation Guide.</w:t>
      </w:r>
    </w:p>
    <w:p w:rsidR="00000000" w:rsidRPr="00A056E9" w:rsidP="00A056E9">
      <w:pPr>
        <w:pStyle w:val="Heading1"/>
      </w:pPr>
      <w:bookmarkStart w:id="9" w:name="O_754723"/>
      <w:bookmarkEnd w:id="9"/>
      <w:r w:rsidRPr="00A056E9">
        <w:t>Unit Mapping Information</w:t>
      </w:r>
    </w:p>
    <w:p w:rsidR="006B51F3" w:rsidP="006B51F3">
      <w:pPr>
        <w:pStyle w:val="BodyText"/>
      </w:pPr>
      <w:r w:rsidRPr="00A056E9">
        <w:t>This unit replaces and is equivalent to TLIX4032A Apply knowledge of technical regulatory framework.</w:t>
      </w:r>
    </w:p>
    <w:p w:rsidR="00000000" w:rsidRPr="00A056E9" w:rsidP="00A056E9">
      <w:pPr>
        <w:pStyle w:val="Heading1"/>
      </w:pPr>
      <w:bookmarkStart w:id="10" w:name="O_754730"/>
      <w:bookmarkEnd w:id="10"/>
      <w:r w:rsidRPr="00A056E9">
        <w:t>L</w:t>
      </w:r>
      <w:r w:rsidRPr="00A056E9">
        <w:t>inks</w:t>
      </w:r>
    </w:p>
    <w:p w:rsidR="00000000" w:rsidRPr="00A056E9" w:rsidP="006B51F3">
      <w:pPr>
        <w:pStyle w:val="BodyText"/>
      </w:pPr>
      <w:r w:rsidRPr="00A056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A5B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56E9" w:rsidP="00A056E9"/>
    <w:sectPr w:rsidSect="00A056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9" w:rsidRPr="006B51F3" w:rsidP="006B5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F3" w:rsidP="00A05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1F3" w:rsidP="00A05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51F3" w:rsidP="00A05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6E9" w:rsidRPr="006B51F3" w:rsidP="006B5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F3" w:rsidRPr="002D2AF8" w:rsidP="00A05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TLIX4032 Apply knowledge of technical regulatory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B51F3" w:rsidP="00A05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6E9"/>
  </w:style>
  <w:style w:type="character" w:customStyle="1" w:styleId="Heading1Char">
    <w:name w:val="Heading 1 Char"/>
    <w:basedOn w:val="DefaultParagraphFont"/>
    <w:link w:val="Heading1"/>
    <w:rsid w:val="00A05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6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56E9"/>
    <w:rPr>
      <w:b/>
      <w:spacing w:val="0"/>
    </w:rPr>
  </w:style>
  <w:style w:type="paragraph" w:customStyle="1" w:styleId="SuperHeading">
    <w:name w:val="SuperHeading"/>
    <w:basedOn w:val="Normal"/>
    <w:rsid w:val="00A05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6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56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5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6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6E9"/>
    <w:rPr>
      <w:i/>
    </w:rPr>
  </w:style>
  <w:style w:type="paragraph" w:styleId="Caption">
    <w:name w:val="caption"/>
    <w:basedOn w:val="BodyText"/>
    <w:next w:val="Normal"/>
    <w:qFormat/>
    <w:rsid w:val="00A05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6E9"/>
  </w:style>
  <w:style w:type="paragraph" w:styleId="TableofFigures">
    <w:name w:val="table of figures"/>
    <w:basedOn w:val="Normal"/>
    <w:next w:val="Normal"/>
    <w:semiHidden/>
    <w:rsid w:val="00A05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6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56E9"/>
    <w:rPr>
      <w:rFonts w:ascii="Wingdings" w:hAnsi="Wingdings"/>
    </w:rPr>
  </w:style>
  <w:style w:type="paragraph" w:customStyle="1" w:styleId="TableHeading">
    <w:name w:val="Table Heading"/>
    <w:basedOn w:val="HeadingBase"/>
    <w:rsid w:val="00A05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6E9"/>
    <w:rPr>
      <w:color w:val="0033CC"/>
      <w:u w:val="none"/>
    </w:rPr>
  </w:style>
  <w:style w:type="paragraph" w:customStyle="1" w:styleId="BodyTextRight">
    <w:name w:val="Body Text Right"/>
    <w:basedOn w:val="BodyText"/>
    <w:rsid w:val="00A05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6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6E9"/>
    <w:rPr>
      <w:sz w:val="32"/>
    </w:rPr>
  </w:style>
  <w:style w:type="paragraph" w:customStyle="1" w:styleId="HeadingProcedure">
    <w:name w:val="Heading Procedure"/>
    <w:basedOn w:val="HeadingBase"/>
    <w:next w:val="Normal"/>
    <w:rsid w:val="00A05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6E9"/>
    <w:pPr>
      <w:spacing w:before="60" w:after="60"/>
    </w:pPr>
  </w:style>
  <w:style w:type="paragraph" w:styleId="ListContinue">
    <w:name w:val="List Continue"/>
    <w:basedOn w:val="List"/>
    <w:rsid w:val="00A056E9"/>
    <w:pPr>
      <w:ind w:firstLine="0"/>
    </w:pPr>
  </w:style>
  <w:style w:type="paragraph" w:customStyle="1" w:styleId="ListNote">
    <w:name w:val="List Note"/>
    <w:basedOn w:val="List"/>
    <w:rsid w:val="00A05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6E9"/>
    <w:rPr>
      <w:rFonts w:ascii="Courier New" w:hAnsi="Courier New"/>
    </w:rPr>
  </w:style>
  <w:style w:type="paragraph" w:customStyle="1" w:styleId="NoteBullet">
    <w:name w:val="Note Bullet"/>
    <w:basedOn w:val="Note"/>
    <w:rsid w:val="00A05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6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5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6E9"/>
    <w:rPr>
      <w:b/>
      <w:smallCaps/>
    </w:rPr>
  </w:style>
  <w:style w:type="paragraph" w:customStyle="1" w:styleId="TableListNumber">
    <w:name w:val="Table List Number"/>
    <w:basedOn w:val="ListNumber"/>
    <w:rsid w:val="00A05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6E9"/>
    <w:pPr>
      <w:numPr>
        <w:numId w:val="7"/>
      </w:numPr>
    </w:pPr>
  </w:style>
  <w:style w:type="paragraph" w:customStyle="1" w:styleId="ListAlpha2">
    <w:name w:val="List Alpha 2"/>
    <w:basedOn w:val="List2"/>
    <w:rsid w:val="00A056E9"/>
    <w:pPr>
      <w:numPr>
        <w:numId w:val="6"/>
      </w:numPr>
    </w:pPr>
  </w:style>
  <w:style w:type="paragraph" w:styleId="List2">
    <w:name w:val="List 2"/>
    <w:basedOn w:val="BodyText"/>
    <w:rsid w:val="00A05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6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6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56E9"/>
    <w:pPr>
      <w:numPr>
        <w:numId w:val="2"/>
      </w:numPr>
    </w:pPr>
  </w:style>
  <w:style w:type="paragraph" w:styleId="ListContinue2">
    <w:name w:val="List Continue 2"/>
    <w:basedOn w:val="List2"/>
    <w:rsid w:val="00A056E9"/>
    <w:pPr>
      <w:ind w:firstLine="0"/>
    </w:pPr>
  </w:style>
  <w:style w:type="paragraph" w:styleId="ListContinue3">
    <w:name w:val="List Continue 3"/>
    <w:basedOn w:val="List3"/>
    <w:rsid w:val="00A056E9"/>
    <w:pPr>
      <w:ind w:left="1021" w:firstLine="0"/>
    </w:pPr>
  </w:style>
  <w:style w:type="paragraph" w:styleId="ListContinue4">
    <w:name w:val="List Continue 4"/>
    <w:basedOn w:val="List4"/>
    <w:rsid w:val="00A056E9"/>
    <w:pPr>
      <w:ind w:firstLine="0"/>
    </w:pPr>
  </w:style>
  <w:style w:type="paragraph" w:styleId="ListContinue5">
    <w:name w:val="List Continue 5"/>
    <w:basedOn w:val="List5"/>
    <w:rsid w:val="00A056E9"/>
    <w:pPr>
      <w:ind w:firstLine="0"/>
    </w:pPr>
  </w:style>
  <w:style w:type="paragraph" w:styleId="ListNumber3">
    <w:name w:val="List Number 3"/>
    <w:basedOn w:val="List3"/>
    <w:rsid w:val="00A056E9"/>
    <w:pPr>
      <w:numPr>
        <w:numId w:val="3"/>
      </w:numPr>
    </w:pPr>
  </w:style>
  <w:style w:type="paragraph" w:styleId="ListNumber4">
    <w:name w:val="List Number 4"/>
    <w:basedOn w:val="List4"/>
    <w:rsid w:val="00A056E9"/>
    <w:pPr>
      <w:numPr>
        <w:numId w:val="4"/>
      </w:numPr>
    </w:pPr>
  </w:style>
  <w:style w:type="paragraph" w:styleId="ListNumber5">
    <w:name w:val="List Number 5"/>
    <w:basedOn w:val="List5"/>
    <w:rsid w:val="00A056E9"/>
    <w:pPr>
      <w:numPr>
        <w:numId w:val="5"/>
      </w:numPr>
    </w:pPr>
  </w:style>
  <w:style w:type="paragraph" w:styleId="BlockText">
    <w:name w:val="Block Text"/>
    <w:basedOn w:val="Normal"/>
    <w:rsid w:val="00A05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6E9"/>
    <w:rPr>
      <w:sz w:val="16"/>
      <w:vertAlign w:val="superscript"/>
    </w:rPr>
  </w:style>
  <w:style w:type="character" w:customStyle="1" w:styleId="Symbols">
    <w:name w:val="Symbols"/>
    <w:basedOn w:val="DefaultParagraphFont"/>
    <w:rsid w:val="00A056E9"/>
    <w:rPr>
      <w:rFonts w:ascii="Symbol" w:hAnsi="Symbol"/>
    </w:rPr>
  </w:style>
  <w:style w:type="character" w:customStyle="1" w:styleId="MenuOptions">
    <w:name w:val="Menu Options"/>
    <w:basedOn w:val="DefaultParagraphFont"/>
    <w:rsid w:val="00A05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6E9"/>
    <w:rPr>
      <w:b/>
    </w:rPr>
  </w:style>
  <w:style w:type="character" w:customStyle="1" w:styleId="Underlined">
    <w:name w:val="Underlined"/>
    <w:basedOn w:val="DefaultParagraphFont"/>
    <w:rsid w:val="00A056E9"/>
    <w:rPr>
      <w:u w:val="single"/>
    </w:rPr>
  </w:style>
  <w:style w:type="paragraph" w:customStyle="1" w:styleId="TableBodyTextRight">
    <w:name w:val="Table Body Text Right"/>
    <w:basedOn w:val="TableBodyText"/>
    <w:rsid w:val="00A05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6E9"/>
    <w:rPr>
      <w:sz w:val="18"/>
    </w:rPr>
  </w:style>
  <w:style w:type="paragraph" w:customStyle="1" w:styleId="BodySmallRight">
    <w:name w:val="Body Small Right"/>
    <w:basedOn w:val="BodyTextRight"/>
    <w:rsid w:val="00A056E9"/>
    <w:rPr>
      <w:sz w:val="18"/>
      <w:szCs w:val="18"/>
    </w:rPr>
  </w:style>
  <w:style w:type="paragraph" w:customStyle="1" w:styleId="MarginEdition">
    <w:name w:val="Margin Edition"/>
    <w:basedOn w:val="MarginNote"/>
    <w:rsid w:val="00A05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6E9"/>
    <w:rPr>
      <w:sz w:val="2"/>
      <w:szCs w:val="2"/>
    </w:rPr>
  </w:style>
  <w:style w:type="character" w:customStyle="1" w:styleId="Small">
    <w:name w:val="Small"/>
    <w:basedOn w:val="DefaultParagraphFont"/>
    <w:rsid w:val="00A056E9"/>
    <w:rPr>
      <w:sz w:val="16"/>
    </w:rPr>
  </w:style>
  <w:style w:type="paragraph" w:customStyle="1" w:styleId="WideTable">
    <w:name w:val="Wide Table"/>
    <w:basedOn w:val="Normal"/>
    <w:rsid w:val="00A05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6E9"/>
  </w:style>
  <w:style w:type="paragraph" w:styleId="Quote">
    <w:name w:val="Quote"/>
    <w:basedOn w:val="Heading1"/>
    <w:link w:val="QuoteChar"/>
    <w:qFormat/>
    <w:rsid w:val="00A05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6E9"/>
    <w:pPr>
      <w:pageBreakBefore/>
    </w:pPr>
  </w:style>
  <w:style w:type="paragraph" w:customStyle="1" w:styleId="Border">
    <w:name w:val="Border"/>
    <w:basedOn w:val="Normal"/>
    <w:qFormat/>
    <w:rsid w:val="00A05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6E9"/>
    <w:rPr>
      <w:u w:val="single"/>
    </w:rPr>
  </w:style>
  <w:style w:type="character" w:customStyle="1" w:styleId="BoldandItalics">
    <w:name w:val="Bold and Italics"/>
    <w:qFormat/>
    <w:rsid w:val="00A056E9"/>
    <w:rPr>
      <w:b/>
      <w:i/>
      <w:u w:val="none"/>
    </w:rPr>
  </w:style>
  <w:style w:type="paragraph" w:styleId="BalloonText">
    <w:name w:val="Balloon Text"/>
    <w:basedOn w:val="Normal"/>
    <w:link w:val="BalloonTextChar"/>
    <w:rsid w:val="00A05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6E9"/>
    <w:pPr>
      <w:spacing w:before="0" w:after="0"/>
    </w:pPr>
  </w:style>
  <w:style w:type="paragraph" w:customStyle="1" w:styleId="BodyTextBold">
    <w:name w:val="Body Text Bold"/>
    <w:basedOn w:val="BodyText"/>
    <w:qFormat/>
    <w:rsid w:val="00A056E9"/>
    <w:rPr>
      <w:b/>
    </w:rPr>
  </w:style>
  <w:style w:type="character" w:styleId="Hyperlink">
    <w:name w:val="Hyperlink"/>
    <w:basedOn w:val="DefaultParagraphFont"/>
    <w:uiPriority w:val="99"/>
    <w:unhideWhenUsed/>
    <w:rsid w:val="006B5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</Words>
  <Characters>2783</Characters>
  <Application>Microsoft Office Word</Application>
  <DocSecurity>0</DocSecurity>
  <Lines>95</Lines>
  <Paragraphs>54</Paragraphs>
  <ScaleCrop>false</ScaleCrop>
  <Company>Author-it Software Corporation Ltd.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TLIX4032 Apply knowledge of technical regulatory framework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2024-11-07T12:40:00Z</dcterms:created>
  <dcterms:modified xsi:type="dcterms:W3CDTF">2024-11-07T12:40:00Z</dcterms:modified>
</cp:coreProperties>
</file>