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520" w:rsidP="00C35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TLIX4029 Apply knowledge of integrated logistics support</w:t>
      </w:r>
      <w:r>
        <w:fldChar w:fldCharType="end"/>
      </w:r>
    </w:p>
    <w:p w:rsidR="00C35520" w:rsidP="00C35520">
      <w:pPr>
        <w:pStyle w:val="Version"/>
        <w:sectPr w:rsidSect="00636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BE4" w:rsidP="00636BE4">
      <w:pPr>
        <w:pStyle w:val="SuperHeading"/>
      </w:pPr>
      <w:r w:rsidRPr="00636BE4">
        <w:t>TLIX4029 Apply knowledge of integrated logistics support</w:t>
      </w:r>
    </w:p>
    <w:p w:rsidR="00000000" w:rsidRPr="00636BE4" w:rsidP="00636BE4">
      <w:pPr>
        <w:pStyle w:val="Heading1"/>
      </w:pPr>
      <w:bookmarkStart w:id="1" w:name="O_754658"/>
      <w:bookmarkEnd w:id="1"/>
      <w:r w:rsidRPr="00636BE4">
        <w:t>Modification History</w:t>
      </w:r>
    </w:p>
    <w:p w:rsidR="00C35520" w:rsidP="00C35520">
      <w:pPr>
        <w:pStyle w:val="BodyText"/>
      </w:pPr>
      <w:r w:rsidRPr="00636BE4">
        <w:t>Release 1. This is the first release of this unit of competency in the TLI Transport and Logistics Training Package.</w:t>
      </w:r>
    </w:p>
    <w:p w:rsidR="00000000" w:rsidRPr="00636BE4" w:rsidP="00636BE4">
      <w:pPr>
        <w:pStyle w:val="Heading1"/>
      </w:pPr>
      <w:bookmarkStart w:id="2" w:name="O_754659"/>
      <w:bookmarkEnd w:id="2"/>
      <w:r w:rsidRPr="00636BE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E4" w:rsidP="00636BE4">
            <w:pPr>
              <w:pStyle w:val="BodyText"/>
            </w:pPr>
            <w:r w:rsidRPr="00636BE4">
              <w:t>This unit involves the skills and knowledge required to analyse and appl</w:t>
            </w:r>
            <w:r w:rsidRPr="00636BE4">
              <w:t xml:space="preserve">y knowledge of integrated logistics support in accordance with relevant organisational policy and procedures. </w:t>
            </w:r>
          </w:p>
          <w:p w:rsidR="00000000" w:rsidRPr="00636BE4" w:rsidP="00636BE4">
            <w:pPr>
              <w:pStyle w:val="BodyText"/>
            </w:pPr>
            <w:r w:rsidRPr="00636BE4">
              <w:t>The application of this knowledge is required by people who are not integrated logistics support specialists but who need the knowledge to inform</w:t>
            </w:r>
            <w:r w:rsidRPr="00636BE4">
              <w:t xml:space="preserve"> their decision making. The application of integrated logistics support knowledge is specific to a variety of component processes in material logistics activities.</w:t>
            </w:r>
          </w:p>
          <w:p w:rsidR="00000000" w:rsidRPr="00636BE4" w:rsidP="00636BE4">
            <w:pPr>
              <w:pStyle w:val="BodyText"/>
            </w:pPr>
            <w:r w:rsidRPr="00636BE4">
              <w:t>This unit was developed for logistics specialists working within materiel logistics but is a</w:t>
            </w:r>
            <w:r w:rsidRPr="00636BE4">
              <w:t>pplicable to individuals in broader logistics roles.</w:t>
            </w:r>
          </w:p>
          <w:p w:rsidR="00000000" w:rsidRPr="00636BE4" w:rsidP="00636BE4">
            <w:pPr>
              <w:pStyle w:val="BodyText"/>
            </w:pPr>
            <w:r w:rsidRPr="00636BE4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636BE4" w:rsidP="00636BE4">
            <w:pPr>
              <w:pStyle w:val="BodyText"/>
            </w:pPr>
            <w:r w:rsidRPr="00636BE4">
              <w:t>No li</w:t>
            </w:r>
            <w:r w:rsidRPr="00636BE4">
              <w:t>censing, legislative or certification requirements apply to this unit at the time of publication.</w:t>
            </w:r>
          </w:p>
        </w:tc>
      </w:tr>
    </w:tbl>
    <w:p w:rsidR="00C35520" w:rsidP="00636BE4">
      <w:pPr>
        <w:pStyle w:val="BodyText"/>
      </w:pPr>
    </w:p>
    <w:p w:rsidR="00C35520" w:rsidP="00636BE4">
      <w:pPr>
        <w:pStyle w:val="BodyText"/>
      </w:pPr>
    </w:p>
    <w:p w:rsidR="00000000" w:rsidRPr="00636BE4" w:rsidP="00636BE4">
      <w:pPr>
        <w:pStyle w:val="Heading1"/>
      </w:pPr>
      <w:bookmarkStart w:id="3" w:name="O_754660"/>
      <w:bookmarkEnd w:id="3"/>
      <w:r w:rsidRPr="00636BE4">
        <w:t>Pre-requisite Unit</w:t>
      </w:r>
    </w:p>
    <w:p w:rsidR="00C35520" w:rsidP="00C35520">
      <w:pPr>
        <w:pStyle w:val="BodyText"/>
      </w:pPr>
      <w:r w:rsidRPr="00636BE4">
        <w:t>Not applicable.</w:t>
      </w:r>
    </w:p>
    <w:p w:rsidR="00000000" w:rsidRPr="00636BE4" w:rsidP="00636BE4">
      <w:pPr>
        <w:pStyle w:val="Heading1"/>
      </w:pPr>
      <w:bookmarkStart w:id="4" w:name="O_754661"/>
      <w:bookmarkEnd w:id="4"/>
      <w:r w:rsidRPr="00636BE4">
        <w:t>Competency Field</w:t>
      </w:r>
    </w:p>
    <w:p w:rsidR="00C35520" w:rsidP="00C35520">
      <w:pPr>
        <w:pStyle w:val="BodyText"/>
      </w:pPr>
      <w:r w:rsidRPr="00636BE4">
        <w:t>X – Logistics</w:t>
      </w:r>
    </w:p>
    <w:p w:rsidR="00000000" w:rsidRPr="00636BE4" w:rsidP="00636BE4">
      <w:pPr>
        <w:pStyle w:val="Heading1"/>
      </w:pPr>
      <w:bookmarkStart w:id="5" w:name="O_754662"/>
      <w:bookmarkEnd w:id="5"/>
      <w:r w:rsidRPr="00636BE4">
        <w:t>Unit Sector</w:t>
      </w:r>
    </w:p>
    <w:p w:rsidR="00C35520" w:rsidP="00C35520">
      <w:pPr>
        <w:pStyle w:val="BodyText"/>
      </w:pPr>
      <w:r w:rsidRPr="00636BE4">
        <w:t>Not applicable.</w:t>
      </w:r>
    </w:p>
    <w:p w:rsidR="00000000" w:rsidRPr="00636BE4" w:rsidP="00636BE4">
      <w:pPr>
        <w:pStyle w:val="Heading1"/>
      </w:pPr>
      <w:bookmarkStart w:id="6" w:name="O_754663"/>
      <w:bookmarkEnd w:id="6"/>
      <w:r w:rsidRPr="00636B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 xml:space="preserve">Elements describe the </w:t>
            </w:r>
            <w:r w:rsidRPr="00636BE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 xml:space="preserve">Performance criteria describe the performance needed to demonstrate achievement of the </w:t>
            </w:r>
            <w:r w:rsidRPr="00636BE4">
              <w:t>element.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E4" w:rsidP="00636BE4">
            <w:pPr>
              <w:pStyle w:val="BodyText"/>
            </w:pPr>
            <w:r w:rsidRPr="00636BE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rPr>
                <w:rStyle w:val="SpecialBold"/>
              </w:rPr>
              <w:t>Access and interpret relevant integrated logistics support info</w:t>
            </w:r>
            <w:r w:rsidRPr="00636BE4">
              <w:rPr>
                <w:rStyle w:val="SpecialBold"/>
              </w:rPr>
              <w:t>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Relevant integrated logistics support requirements are identified and obtained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Integrated logistics information obtained is analysed to determine relevance and application to the organisation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Outcomes of the analysis are documented and recommendations relevant to integrated logistics support are determined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E4" w:rsidP="00636BE4">
            <w:pPr>
              <w:pStyle w:val="BodyText"/>
            </w:pPr>
            <w:r w:rsidRPr="00636BE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rPr>
                <w:rStyle w:val="SpecialBold"/>
              </w:rPr>
              <w:t>Use knowledge of integrated logistics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 xml:space="preserve">Integrated logistics support requirements and recommendations relevant to materiel and </w:t>
            </w:r>
            <w:r w:rsidRPr="00636BE4">
              <w:t>materiel logistics are applied in accordance with organisational policy and procedures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Effectiveness of recommendations is assessed, reviewed and recorded in accordance with organisational policy and procedures</w:t>
            </w:r>
          </w:p>
        </w:tc>
      </w:tr>
      <w:tr w:rsidTr="00C355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E4">
            <w:pPr>
              <w:pStyle w:val="BodyText"/>
              <w:rPr>
                <w:lang w:val="en-NZ"/>
              </w:rPr>
            </w:pPr>
            <w:r w:rsidRPr="00636BE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E4" w:rsidP="00636BE4">
            <w:pPr>
              <w:pStyle w:val="BodyText"/>
            </w:pPr>
            <w:r w:rsidRPr="00636BE4">
              <w:t>Recommendations are adjusted as required and documented for future application in accordance with organisational policy and procedures</w:t>
            </w:r>
          </w:p>
        </w:tc>
      </w:tr>
    </w:tbl>
    <w:p w:rsidR="00C35520" w:rsidP="00636BE4">
      <w:pPr>
        <w:pStyle w:val="BodyText"/>
      </w:pPr>
    </w:p>
    <w:p w:rsidR="00C35520" w:rsidP="00636BE4">
      <w:pPr>
        <w:pStyle w:val="BodyText"/>
      </w:pPr>
    </w:p>
    <w:p w:rsidR="00000000" w:rsidRPr="00636BE4" w:rsidP="00636BE4">
      <w:pPr>
        <w:pStyle w:val="Heading1"/>
      </w:pPr>
      <w:bookmarkStart w:id="7" w:name="O_754664"/>
      <w:bookmarkEnd w:id="7"/>
      <w:r w:rsidRPr="00636BE4">
        <w:t>Foundation Skills</w:t>
      </w:r>
    </w:p>
    <w:p w:rsidR="00C35520" w:rsidP="00C35520">
      <w:pPr>
        <w:pStyle w:val="BodyText"/>
      </w:pPr>
      <w:r w:rsidRPr="00636BE4">
        <w:t>Foundation skills essential to performance are explicit in the performance criteria of this unit of competency</w:t>
      </w:r>
    </w:p>
    <w:p w:rsidR="00000000" w:rsidRPr="00636BE4" w:rsidP="00636BE4">
      <w:pPr>
        <w:pStyle w:val="Heading1"/>
      </w:pPr>
      <w:bookmarkStart w:id="8" w:name="O_754665"/>
      <w:bookmarkEnd w:id="8"/>
      <w:r w:rsidRPr="00636BE4">
        <w:t>Range of Conditions</w:t>
      </w:r>
    </w:p>
    <w:p w:rsidR="00000000" w:rsidRPr="00636BE4" w:rsidP="00C35520">
      <w:pPr>
        <w:pStyle w:val="BodyText"/>
      </w:pPr>
      <w:r w:rsidRPr="00636BE4">
        <w:t>Range is restricted to essential operating conditions and any other variables essential to the work environ</w:t>
      </w:r>
      <w:r w:rsidRPr="00636BE4">
        <w:t>ment.</w:t>
      </w:r>
    </w:p>
    <w:p w:rsidR="00C35520" w:rsidP="00C35520">
      <w:pPr>
        <w:pStyle w:val="BodyText"/>
      </w:pPr>
      <w:r w:rsidRPr="00636BE4">
        <w:t>Non-essential conditions can be found in the Companion Volume Implementation Guide.</w:t>
      </w:r>
    </w:p>
    <w:p w:rsidR="00000000" w:rsidRPr="00636BE4" w:rsidP="00636BE4">
      <w:pPr>
        <w:pStyle w:val="Heading1"/>
      </w:pPr>
      <w:bookmarkStart w:id="9" w:name="O_754666"/>
      <w:bookmarkEnd w:id="9"/>
      <w:r w:rsidRPr="00636BE4">
        <w:t>Unit Mapping Information</w:t>
      </w:r>
    </w:p>
    <w:p w:rsidR="00C35520" w:rsidP="00C35520">
      <w:pPr>
        <w:pStyle w:val="BodyText"/>
      </w:pPr>
      <w:r w:rsidRPr="00636BE4">
        <w:t>This unit replaces and is equivalent to TLIX4029A Apply knowledge of integrated logistics support.</w:t>
      </w:r>
    </w:p>
    <w:p w:rsidR="00000000" w:rsidRPr="00636BE4" w:rsidP="00636BE4">
      <w:pPr>
        <w:pStyle w:val="Heading1"/>
      </w:pPr>
      <w:bookmarkStart w:id="10" w:name="O_754673"/>
      <w:bookmarkEnd w:id="10"/>
      <w:r w:rsidRPr="00636BE4">
        <w:t>Links</w:t>
      </w:r>
    </w:p>
    <w:p w:rsidR="00000000" w:rsidRPr="00636BE4" w:rsidP="00C35520">
      <w:pPr>
        <w:pStyle w:val="BodyText"/>
      </w:pPr>
      <w:r w:rsidRPr="00636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21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BE4" w:rsidP="00636BE4"/>
    <w:sectPr w:rsidSect="00636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E4" w:rsidRPr="00C35520" w:rsidP="00C35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20" w:rsidP="00636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520" w:rsidP="00636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5520" w:rsidP="00636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BE4" w:rsidRPr="00C35520" w:rsidP="00C35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20" w:rsidRPr="002D2AF8" w:rsidP="00636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TLIX4029 Apply knowledge of integrated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35520" w:rsidP="00636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BE4"/>
  </w:style>
  <w:style w:type="character" w:customStyle="1" w:styleId="Heading1Char">
    <w:name w:val="Heading 1 Char"/>
    <w:basedOn w:val="DefaultParagraphFont"/>
    <w:link w:val="Heading1"/>
    <w:rsid w:val="00636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B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6BE4"/>
    <w:rPr>
      <w:b/>
      <w:spacing w:val="0"/>
    </w:rPr>
  </w:style>
  <w:style w:type="paragraph" w:customStyle="1" w:styleId="SuperHeading">
    <w:name w:val="SuperHeading"/>
    <w:basedOn w:val="Normal"/>
    <w:rsid w:val="00636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B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B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6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B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BE4"/>
    <w:rPr>
      <w:i/>
    </w:rPr>
  </w:style>
  <w:style w:type="paragraph" w:styleId="Caption">
    <w:name w:val="caption"/>
    <w:basedOn w:val="BodyText"/>
    <w:next w:val="Normal"/>
    <w:qFormat/>
    <w:rsid w:val="00636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BE4"/>
  </w:style>
  <w:style w:type="paragraph" w:styleId="TableofFigures">
    <w:name w:val="table of figures"/>
    <w:basedOn w:val="Normal"/>
    <w:next w:val="Normal"/>
    <w:semiHidden/>
    <w:rsid w:val="00636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B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6BE4"/>
    <w:rPr>
      <w:rFonts w:ascii="Wingdings" w:hAnsi="Wingdings"/>
    </w:rPr>
  </w:style>
  <w:style w:type="paragraph" w:customStyle="1" w:styleId="TableHeading">
    <w:name w:val="Table Heading"/>
    <w:basedOn w:val="HeadingBase"/>
    <w:rsid w:val="00636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BE4"/>
    <w:rPr>
      <w:color w:val="0033CC"/>
      <w:u w:val="none"/>
    </w:rPr>
  </w:style>
  <w:style w:type="paragraph" w:customStyle="1" w:styleId="BodyTextRight">
    <w:name w:val="Body Text Right"/>
    <w:basedOn w:val="BodyText"/>
    <w:rsid w:val="00636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B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BE4"/>
    <w:rPr>
      <w:sz w:val="32"/>
    </w:rPr>
  </w:style>
  <w:style w:type="paragraph" w:customStyle="1" w:styleId="HeadingProcedure">
    <w:name w:val="Heading Procedure"/>
    <w:basedOn w:val="HeadingBase"/>
    <w:next w:val="Normal"/>
    <w:rsid w:val="00636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BE4"/>
    <w:pPr>
      <w:spacing w:before="60" w:after="60"/>
    </w:pPr>
  </w:style>
  <w:style w:type="paragraph" w:styleId="ListContinue">
    <w:name w:val="List Continue"/>
    <w:basedOn w:val="List"/>
    <w:rsid w:val="00636BE4"/>
    <w:pPr>
      <w:ind w:firstLine="0"/>
    </w:pPr>
  </w:style>
  <w:style w:type="paragraph" w:customStyle="1" w:styleId="ListNote">
    <w:name w:val="List Note"/>
    <w:basedOn w:val="List"/>
    <w:rsid w:val="00636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BE4"/>
    <w:rPr>
      <w:rFonts w:ascii="Courier New" w:hAnsi="Courier New"/>
    </w:rPr>
  </w:style>
  <w:style w:type="paragraph" w:customStyle="1" w:styleId="NoteBullet">
    <w:name w:val="Note Bullet"/>
    <w:basedOn w:val="Note"/>
    <w:rsid w:val="00636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B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6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BE4"/>
    <w:rPr>
      <w:b/>
      <w:smallCaps/>
    </w:rPr>
  </w:style>
  <w:style w:type="paragraph" w:customStyle="1" w:styleId="TableListNumber">
    <w:name w:val="Table List Number"/>
    <w:basedOn w:val="ListNumber"/>
    <w:rsid w:val="00636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BE4"/>
    <w:pPr>
      <w:numPr>
        <w:numId w:val="7"/>
      </w:numPr>
    </w:pPr>
  </w:style>
  <w:style w:type="paragraph" w:customStyle="1" w:styleId="ListAlpha2">
    <w:name w:val="List Alpha 2"/>
    <w:basedOn w:val="List2"/>
    <w:rsid w:val="00636BE4"/>
    <w:pPr>
      <w:numPr>
        <w:numId w:val="6"/>
      </w:numPr>
    </w:pPr>
  </w:style>
  <w:style w:type="paragraph" w:styleId="List2">
    <w:name w:val="List 2"/>
    <w:basedOn w:val="BodyText"/>
    <w:rsid w:val="00636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B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B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6BE4"/>
    <w:pPr>
      <w:numPr>
        <w:numId w:val="2"/>
      </w:numPr>
    </w:pPr>
  </w:style>
  <w:style w:type="paragraph" w:styleId="ListContinue2">
    <w:name w:val="List Continue 2"/>
    <w:basedOn w:val="List2"/>
    <w:rsid w:val="00636BE4"/>
    <w:pPr>
      <w:ind w:firstLine="0"/>
    </w:pPr>
  </w:style>
  <w:style w:type="paragraph" w:styleId="ListContinue3">
    <w:name w:val="List Continue 3"/>
    <w:basedOn w:val="List3"/>
    <w:rsid w:val="00636BE4"/>
    <w:pPr>
      <w:ind w:left="1021" w:firstLine="0"/>
    </w:pPr>
  </w:style>
  <w:style w:type="paragraph" w:styleId="ListContinue4">
    <w:name w:val="List Continue 4"/>
    <w:basedOn w:val="List4"/>
    <w:rsid w:val="00636BE4"/>
    <w:pPr>
      <w:ind w:firstLine="0"/>
    </w:pPr>
  </w:style>
  <w:style w:type="paragraph" w:styleId="ListContinue5">
    <w:name w:val="List Continue 5"/>
    <w:basedOn w:val="List5"/>
    <w:rsid w:val="00636BE4"/>
    <w:pPr>
      <w:ind w:firstLine="0"/>
    </w:pPr>
  </w:style>
  <w:style w:type="paragraph" w:styleId="ListNumber3">
    <w:name w:val="List Number 3"/>
    <w:basedOn w:val="List3"/>
    <w:rsid w:val="00636BE4"/>
    <w:pPr>
      <w:numPr>
        <w:numId w:val="3"/>
      </w:numPr>
    </w:pPr>
  </w:style>
  <w:style w:type="paragraph" w:styleId="ListNumber4">
    <w:name w:val="List Number 4"/>
    <w:basedOn w:val="List4"/>
    <w:rsid w:val="00636BE4"/>
    <w:pPr>
      <w:numPr>
        <w:numId w:val="4"/>
      </w:numPr>
    </w:pPr>
  </w:style>
  <w:style w:type="paragraph" w:styleId="ListNumber5">
    <w:name w:val="List Number 5"/>
    <w:basedOn w:val="List5"/>
    <w:rsid w:val="00636BE4"/>
    <w:pPr>
      <w:numPr>
        <w:numId w:val="5"/>
      </w:numPr>
    </w:pPr>
  </w:style>
  <w:style w:type="paragraph" w:styleId="BlockText">
    <w:name w:val="Block Text"/>
    <w:basedOn w:val="Normal"/>
    <w:rsid w:val="00636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BE4"/>
    <w:rPr>
      <w:sz w:val="16"/>
      <w:vertAlign w:val="superscript"/>
    </w:rPr>
  </w:style>
  <w:style w:type="character" w:customStyle="1" w:styleId="Symbols">
    <w:name w:val="Symbols"/>
    <w:basedOn w:val="DefaultParagraphFont"/>
    <w:rsid w:val="00636BE4"/>
    <w:rPr>
      <w:rFonts w:ascii="Symbol" w:hAnsi="Symbol"/>
    </w:rPr>
  </w:style>
  <w:style w:type="character" w:customStyle="1" w:styleId="MenuOptions">
    <w:name w:val="Menu Options"/>
    <w:basedOn w:val="DefaultParagraphFont"/>
    <w:rsid w:val="00636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BE4"/>
    <w:rPr>
      <w:b/>
    </w:rPr>
  </w:style>
  <w:style w:type="character" w:customStyle="1" w:styleId="Underlined">
    <w:name w:val="Underlined"/>
    <w:basedOn w:val="DefaultParagraphFont"/>
    <w:rsid w:val="00636BE4"/>
    <w:rPr>
      <w:u w:val="single"/>
    </w:rPr>
  </w:style>
  <w:style w:type="paragraph" w:customStyle="1" w:styleId="TableBodyTextRight">
    <w:name w:val="Table Body Text Right"/>
    <w:basedOn w:val="TableBodyText"/>
    <w:rsid w:val="00636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BE4"/>
    <w:rPr>
      <w:sz w:val="18"/>
    </w:rPr>
  </w:style>
  <w:style w:type="paragraph" w:customStyle="1" w:styleId="BodySmallRight">
    <w:name w:val="Body Small Right"/>
    <w:basedOn w:val="BodyTextRight"/>
    <w:rsid w:val="00636BE4"/>
    <w:rPr>
      <w:sz w:val="18"/>
      <w:szCs w:val="18"/>
    </w:rPr>
  </w:style>
  <w:style w:type="paragraph" w:customStyle="1" w:styleId="MarginEdition">
    <w:name w:val="Margin Edition"/>
    <w:basedOn w:val="MarginNote"/>
    <w:rsid w:val="00636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BE4"/>
    <w:rPr>
      <w:sz w:val="2"/>
      <w:szCs w:val="2"/>
    </w:rPr>
  </w:style>
  <w:style w:type="character" w:customStyle="1" w:styleId="Small">
    <w:name w:val="Small"/>
    <w:basedOn w:val="DefaultParagraphFont"/>
    <w:rsid w:val="00636BE4"/>
    <w:rPr>
      <w:sz w:val="16"/>
    </w:rPr>
  </w:style>
  <w:style w:type="paragraph" w:customStyle="1" w:styleId="WideTable">
    <w:name w:val="Wide Table"/>
    <w:basedOn w:val="Normal"/>
    <w:rsid w:val="00636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BE4"/>
  </w:style>
  <w:style w:type="paragraph" w:styleId="Quote">
    <w:name w:val="Quote"/>
    <w:basedOn w:val="Heading1"/>
    <w:link w:val="QuoteChar"/>
    <w:qFormat/>
    <w:rsid w:val="00636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BE4"/>
    <w:pPr>
      <w:pageBreakBefore/>
    </w:pPr>
  </w:style>
  <w:style w:type="paragraph" w:customStyle="1" w:styleId="Border">
    <w:name w:val="Border"/>
    <w:basedOn w:val="Normal"/>
    <w:qFormat/>
    <w:rsid w:val="00636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BE4"/>
    <w:rPr>
      <w:u w:val="single"/>
    </w:rPr>
  </w:style>
  <w:style w:type="character" w:customStyle="1" w:styleId="BoldandItalics">
    <w:name w:val="Bold and Italics"/>
    <w:qFormat/>
    <w:rsid w:val="00636BE4"/>
    <w:rPr>
      <w:b/>
      <w:i/>
      <w:u w:val="none"/>
    </w:rPr>
  </w:style>
  <w:style w:type="paragraph" w:styleId="BalloonText">
    <w:name w:val="Balloon Text"/>
    <w:basedOn w:val="Normal"/>
    <w:link w:val="BalloonTextChar"/>
    <w:rsid w:val="00636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BE4"/>
    <w:pPr>
      <w:spacing w:before="0" w:after="0"/>
    </w:pPr>
  </w:style>
  <w:style w:type="paragraph" w:customStyle="1" w:styleId="BodyTextBold">
    <w:name w:val="Body Text Bold"/>
    <w:basedOn w:val="BodyText"/>
    <w:qFormat/>
    <w:rsid w:val="00636BE4"/>
    <w:rPr>
      <w:b/>
    </w:rPr>
  </w:style>
  <w:style w:type="character" w:styleId="Hyperlink">
    <w:name w:val="Hyperlink"/>
    <w:basedOn w:val="DefaultParagraphFont"/>
    <w:uiPriority w:val="99"/>
    <w:unhideWhenUsed/>
    <w:rsid w:val="00C35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2758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TLIX4029 Apply knowledge of integrated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