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142" w:rsidP="00483142">
      <w:pPr>
        <w:pStyle w:val="Title"/>
      </w:pPr>
      <w:r>
        <w:fldChar w:fldCharType="begin"/>
      </w:r>
      <w:r>
        <w:instrText xml:space="preserve"> TITLE   \* MERGEFORMAT </w:instrText>
      </w:r>
      <w:r>
        <w:fldChar w:fldCharType="separate"/>
      </w:r>
      <w:r>
        <w:t>TLIX4028 Apply knowledge of logistics</w:t>
      </w:r>
      <w:r>
        <w:fldChar w:fldCharType="end"/>
      </w:r>
    </w:p>
    <w:p w:rsidR="00483142" w:rsidP="00483142">
      <w:pPr>
        <w:pStyle w:val="Version"/>
        <w:sectPr w:rsidSect="00904C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4C1F" w:rsidP="00904C1F">
      <w:pPr>
        <w:pStyle w:val="SuperHeading"/>
      </w:pPr>
      <w:r w:rsidRPr="00904C1F">
        <w:t>TLIX4028 Apply knowledge of logistics</w:t>
      </w:r>
    </w:p>
    <w:p w:rsidR="00000000" w:rsidRPr="00904C1F" w:rsidP="00904C1F">
      <w:pPr>
        <w:pStyle w:val="Heading1"/>
      </w:pPr>
      <w:bookmarkStart w:id="1" w:name="O_1195160"/>
      <w:bookmarkEnd w:id="1"/>
      <w:r w:rsidRPr="00904C1F">
        <w:t>Modification History</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rPr>
                <w:rStyle w:val="SpecialBold"/>
              </w:rPr>
              <w:t>Release 2.</w:t>
            </w:r>
            <w:r w:rsidRPr="00904C1F">
              <w:t xml:space="preserve"> This is the second release of this unit of competency in the TLI Transport and Logistics Training Package.</w:t>
            </w:r>
          </w:p>
          <w:p w:rsidR="00000000" w:rsidP="00904C1F">
            <w:pPr>
              <w:pStyle w:val="ListBullet"/>
              <w:rPr>
                <w:lang w:val="en-NZ"/>
              </w:rPr>
            </w:pPr>
            <w:r w:rsidRPr="00904C1F">
              <w:t>Updated wording to Application and Assessment Conditions.</w:t>
            </w:r>
          </w:p>
        </w:tc>
      </w:tr>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rPr>
                <w:rStyle w:val="SpecialBold"/>
              </w:rPr>
              <w:t>Release 1.</w:t>
            </w:r>
            <w:r w:rsidRPr="00904C1F">
              <w:t xml:space="preserve"> This is the first release of this unit of comp</w:t>
            </w:r>
            <w:r w:rsidRPr="00904C1F">
              <w:t>etency in the TLI Transport and Logistics Training Package.</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2" w:name="O_1195159"/>
      <w:bookmarkEnd w:id="2"/>
      <w:r w:rsidRPr="00904C1F">
        <w:t>Application</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t>This unit involves the skills and knowledge required to apply knowledge of logistics.</w:t>
            </w:r>
          </w:p>
          <w:p w:rsidR="00000000" w:rsidRPr="00904C1F" w:rsidP="00904C1F">
            <w:pPr>
              <w:pStyle w:val="BodyText"/>
            </w:pPr>
            <w:r w:rsidRPr="00904C1F">
              <w:t>It includes accessing and interpreting relevant logistics information and app</w:t>
            </w:r>
            <w:r w:rsidRPr="00904C1F">
              <w:t xml:space="preserve">lying this information in the workplace. </w:t>
            </w:r>
          </w:p>
          <w:p w:rsidR="00000000" w:rsidRPr="00904C1F" w:rsidP="00904C1F">
            <w:pPr>
              <w:pStyle w:val="BodyText"/>
            </w:pPr>
            <w:r w:rsidRPr="00904C1F">
              <w:t xml:space="preserve">This unit applies to emerging logistics specialists who need an understanding of the functions and activities of the wider organisation but is applicable to any individual in this field of work. </w:t>
            </w:r>
          </w:p>
          <w:p w:rsidR="00000000" w:rsidRPr="00904C1F" w:rsidP="00904C1F">
            <w:pPr>
              <w:pStyle w:val="BodyText"/>
            </w:pPr>
            <w:r w:rsidRPr="00904C1F">
              <w:t>The application of</w:t>
            </w:r>
            <w:r w:rsidRPr="00904C1F">
              <w:t xml:space="preserve"> this knowledge is required by people who are not currently specialists in the field but need the knowledge to inform their decision making. </w:t>
            </w:r>
          </w:p>
          <w:p w:rsidR="00000000" w:rsidRPr="00904C1F" w:rsidP="00904C1F">
            <w:pPr>
              <w:pStyle w:val="BodyText"/>
            </w:pPr>
            <w:r w:rsidRPr="00904C1F">
              <w:t>Typically these individuals must demonstrate the ability to work independently or as part of a team under direct and/or indirect supervision, use discretion and judgement, and take responsibility for the quality of their outputs.</w:t>
            </w:r>
          </w:p>
          <w:p w:rsidR="00000000" w:rsidRPr="00904C1F" w:rsidP="00904C1F">
            <w:pPr>
              <w:pStyle w:val="BodyText"/>
            </w:pPr>
            <w:r w:rsidRPr="00904C1F">
              <w:t xml:space="preserve">No licensing, legislative </w:t>
            </w:r>
            <w:r w:rsidRPr="00904C1F">
              <w:t>or certification requirements apply to this unit at the time of publication.</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3" w:name="O_1195158"/>
      <w:bookmarkEnd w:id="3"/>
      <w:r w:rsidRPr="00904C1F">
        <w:t>Pre-requisite Unit</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t>Not applicable.</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4" w:name="O_1195157"/>
      <w:bookmarkEnd w:id="4"/>
      <w:r w:rsidRPr="00904C1F">
        <w:t>Competency Field</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t>X ‒ Logistics.</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5" w:name="O_1195156"/>
      <w:bookmarkEnd w:id="5"/>
      <w:r w:rsidRPr="00904C1F">
        <w:t>Unit Sector</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t>Not applicable.</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6" w:name="O_1195155"/>
      <w:bookmarkEnd w:id="6"/>
      <w:r w:rsidRPr="00904C1F">
        <w:t>Elements and Performance Criteria</w:t>
      </w:r>
    </w:p>
    <w:tbl>
      <w:tblPr>
        <w:tblW w:w="9632" w:type="dxa"/>
        <w:tblLayout w:type="fixed"/>
        <w:tblCellMar>
          <w:left w:w="62" w:type="dxa"/>
          <w:right w:w="62" w:type="dxa"/>
        </w:tblCellMar>
        <w:tblLook w:val="0000"/>
      </w:tblPr>
      <w:tblGrid>
        <w:gridCol w:w="365"/>
        <w:gridCol w:w="2604"/>
        <w:gridCol w:w="41"/>
        <w:gridCol w:w="433"/>
        <w:gridCol w:w="6054"/>
        <w:gridCol w:w="135"/>
      </w:tblGrid>
      <w:tr w:rsidTr="00904C1F">
        <w:tblPrEx>
          <w:tblW w:w="9632" w:type="dxa"/>
          <w:tblLayout w:type="fixed"/>
          <w:tblCellMar>
            <w:left w:w="62" w:type="dxa"/>
            <w:right w:w="62" w:type="dxa"/>
          </w:tblCellMar>
          <w:tblLook w:val="0000"/>
        </w:tblPrEx>
        <w:trPr>
          <w:gridAfter w:val="1"/>
          <w:wAfter w:w="135" w:type="dxa"/>
        </w:trPr>
        <w:tc>
          <w:tcPr>
            <w:tcW w:w="2969" w:type="dxa"/>
            <w:gridSpan w:val="2"/>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rPr>
                <w:rStyle w:val="SpecialBold"/>
              </w:rPr>
              <w:t>ELEMENTS</w:t>
            </w:r>
          </w:p>
        </w:tc>
        <w:tc>
          <w:tcPr>
            <w:tcW w:w="6528" w:type="dxa"/>
            <w:gridSpan w:val="3"/>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rPr>
                <w:rStyle w:val="SpecialBold"/>
              </w:rPr>
              <w:t>PERFORMANCE CRITERIA</w:t>
            </w:r>
          </w:p>
        </w:tc>
      </w:tr>
      <w:tr w:rsidTr="00904C1F">
        <w:tblPrEx>
          <w:tblW w:w="9632" w:type="dxa"/>
          <w:tblLayout w:type="fixed"/>
          <w:tblCellMar>
            <w:left w:w="62" w:type="dxa"/>
            <w:right w:w="62" w:type="dxa"/>
          </w:tblCellMar>
          <w:tblLook w:val="0000"/>
        </w:tblPrEx>
        <w:trPr>
          <w:gridAfter w:val="1"/>
          <w:wAfter w:w="135" w:type="dxa"/>
        </w:trPr>
        <w:tc>
          <w:tcPr>
            <w:tcW w:w="2969" w:type="dxa"/>
            <w:gridSpan w:val="2"/>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t>Elements describe the essential outcomes.</w:t>
            </w:r>
          </w:p>
        </w:tc>
        <w:tc>
          <w:tcPr>
            <w:tcW w:w="6528" w:type="dxa"/>
            <w:gridSpan w:val="3"/>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t>Performance criteria describe the performance needed to demonstrate achievement of the element.</w:t>
            </w:r>
          </w:p>
        </w:tc>
      </w:tr>
      <w:tr w:rsidTr="00904C1F">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rPr>
                <w:rStyle w:val="SpecialBold"/>
              </w:rPr>
              <w:t>1</w:t>
            </w:r>
          </w:p>
        </w:tc>
        <w:tc>
          <w:tcPr>
            <w:tcW w:w="2645" w:type="dxa"/>
            <w:gridSpan w:val="2"/>
            <w:vMerge w:val="restart"/>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rPr>
                <w:rStyle w:val="SpecialBold"/>
              </w:rPr>
              <w:t>Access and interpret relevant logistics information</w:t>
            </w:r>
          </w:p>
        </w:tc>
        <w:tc>
          <w:tcPr>
            <w:tcW w:w="433" w:type="dxa"/>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rPr>
                <w:rStyle w:val="SpecialBold"/>
              </w:rPr>
              <w:t>1.1</w:t>
            </w:r>
          </w:p>
        </w:tc>
        <w:tc>
          <w:tcPr>
            <w:tcW w:w="6189" w:type="dxa"/>
            <w:gridSpan w:val="2"/>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t>Relevant logistics requirements are identified and obtained</w:t>
            </w:r>
          </w:p>
        </w:tc>
      </w:tr>
      <w:tr w:rsidTr="00904C1F">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45" w:type="dxa"/>
            <w:gridSpan w:val="2"/>
            <w:vMerge/>
            <w:tcBorders>
              <w:top w:val="nil"/>
              <w:left w:val="nil"/>
              <w:bottom w:val="nil"/>
              <w:right w:val="nil"/>
            </w:tcBorders>
            <w:tcMar>
              <w:top w:w="0" w:type="dxa"/>
              <w:left w:w="62" w:type="dxa"/>
              <w:bottom w:w="0" w:type="dxa"/>
              <w:right w:w="62" w:type="dxa"/>
            </w:tcMar>
          </w:tcPr>
          <w:p w:rsidR="00000000" w:rsidRPr="00904C1F">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rPr>
                <w:rStyle w:val="SpecialBold"/>
              </w:rPr>
              <w:t>1.2</w:t>
            </w:r>
          </w:p>
        </w:tc>
        <w:tc>
          <w:tcPr>
            <w:tcW w:w="6189" w:type="dxa"/>
            <w:gridSpan w:val="2"/>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t xml:space="preserve">Logistics information obtained is analysed to determine organisational application </w:t>
            </w:r>
          </w:p>
        </w:tc>
      </w:tr>
      <w:tr w:rsidTr="00904C1F">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45" w:type="dxa"/>
            <w:gridSpan w:val="2"/>
            <w:vMerge/>
            <w:tcBorders>
              <w:top w:val="nil"/>
              <w:left w:val="nil"/>
              <w:bottom w:val="nil"/>
              <w:right w:val="nil"/>
            </w:tcBorders>
            <w:tcMar>
              <w:top w:w="0" w:type="dxa"/>
              <w:left w:w="62" w:type="dxa"/>
              <w:bottom w:w="0" w:type="dxa"/>
              <w:right w:w="62" w:type="dxa"/>
            </w:tcMar>
          </w:tcPr>
          <w:p w:rsidR="00000000" w:rsidRPr="00904C1F">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rPr>
                <w:rStyle w:val="SpecialBold"/>
              </w:rPr>
              <w:t>1.3</w:t>
            </w:r>
          </w:p>
        </w:tc>
        <w:tc>
          <w:tcPr>
            <w:tcW w:w="6189" w:type="dxa"/>
            <w:gridSpan w:val="2"/>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t>Ana</w:t>
            </w:r>
            <w:r w:rsidRPr="00904C1F">
              <w:t>lysis results are documented and recommendations relevant to logistics are determined</w:t>
            </w:r>
          </w:p>
        </w:tc>
      </w:tr>
      <w:tr w:rsidTr="00904C1F">
        <w:tblPrEx>
          <w:tblW w:w="9632"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rPr>
                <w:rStyle w:val="SpecialBold"/>
              </w:rPr>
              <w:t>2</w:t>
            </w:r>
          </w:p>
        </w:tc>
        <w:tc>
          <w:tcPr>
            <w:tcW w:w="2645" w:type="dxa"/>
            <w:gridSpan w:val="2"/>
            <w:vMerge w:val="restart"/>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rPr>
                <w:rStyle w:val="SpecialBold"/>
              </w:rPr>
              <w:t>Use knowledge of logistics</w:t>
            </w:r>
          </w:p>
        </w:tc>
        <w:tc>
          <w:tcPr>
            <w:tcW w:w="433" w:type="dxa"/>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rPr>
                <w:rStyle w:val="SpecialBold"/>
              </w:rPr>
              <w:t>2.1</w:t>
            </w:r>
          </w:p>
        </w:tc>
        <w:tc>
          <w:tcPr>
            <w:tcW w:w="6189" w:type="dxa"/>
            <w:gridSpan w:val="2"/>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t>Logistics requirements and recommendations are applied in accordance with organisational policy and procedures</w:t>
            </w:r>
          </w:p>
        </w:tc>
      </w:tr>
      <w:tr w:rsidTr="00904C1F">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45" w:type="dxa"/>
            <w:gridSpan w:val="2"/>
            <w:vMerge/>
            <w:tcBorders>
              <w:top w:val="nil"/>
              <w:left w:val="nil"/>
              <w:bottom w:val="nil"/>
              <w:right w:val="nil"/>
            </w:tcBorders>
            <w:tcMar>
              <w:top w:w="0" w:type="dxa"/>
              <w:left w:w="62" w:type="dxa"/>
              <w:bottom w:w="0" w:type="dxa"/>
              <w:right w:w="62" w:type="dxa"/>
            </w:tcMar>
          </w:tcPr>
          <w:p w:rsidR="00000000" w:rsidRPr="00904C1F">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rPr>
                <w:rStyle w:val="SpecialBold"/>
              </w:rPr>
              <w:t>2.2</w:t>
            </w:r>
          </w:p>
        </w:tc>
        <w:tc>
          <w:tcPr>
            <w:tcW w:w="6189" w:type="dxa"/>
            <w:gridSpan w:val="2"/>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t>Effectiveness of the recommendations is assessed, reviewed and recorded in accordance with organisational policy and procedures</w:t>
            </w:r>
          </w:p>
        </w:tc>
      </w:tr>
      <w:tr w:rsidTr="00904C1F">
        <w:tblPrEx>
          <w:tblW w:w="9632"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45" w:type="dxa"/>
            <w:gridSpan w:val="2"/>
            <w:vMerge/>
            <w:tcBorders>
              <w:top w:val="nil"/>
              <w:left w:val="nil"/>
              <w:bottom w:val="nil"/>
              <w:right w:val="nil"/>
            </w:tcBorders>
            <w:tcMar>
              <w:top w:w="0" w:type="dxa"/>
              <w:left w:w="62" w:type="dxa"/>
              <w:bottom w:w="0" w:type="dxa"/>
              <w:right w:w="62" w:type="dxa"/>
            </w:tcMar>
          </w:tcPr>
          <w:p w:rsidR="00000000" w:rsidRPr="00904C1F">
            <w:pPr>
              <w:pStyle w:val="BodyText"/>
              <w:keepLines w:val="0"/>
              <w:spacing w:before="0" w:after="0"/>
            </w:pPr>
          </w:p>
        </w:tc>
        <w:tc>
          <w:tcPr>
            <w:tcW w:w="433" w:type="dxa"/>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rPr>
                <w:rStyle w:val="SpecialBold"/>
              </w:rPr>
              <w:t>2.3</w:t>
            </w:r>
          </w:p>
        </w:tc>
        <w:tc>
          <w:tcPr>
            <w:tcW w:w="6189" w:type="dxa"/>
            <w:gridSpan w:val="2"/>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t>Recommendations are adjusted, as required, and documented for future application in accordance with organisational policy</w:t>
            </w:r>
            <w:r w:rsidRPr="00904C1F">
              <w:t xml:space="preserve"> and procedures</w:t>
            </w:r>
          </w:p>
        </w:tc>
      </w:tr>
    </w:tbl>
    <w:p w:rsidR="00483142" w:rsidP="00904C1F">
      <w:pPr>
        <w:pStyle w:val="NoPaddingFontSize1"/>
      </w:pPr>
    </w:p>
    <w:p w:rsidR="00483142" w:rsidP="00904C1F">
      <w:pPr>
        <w:pStyle w:val="NoPaddingFontSize1"/>
      </w:pPr>
    </w:p>
    <w:p w:rsidR="00000000" w:rsidRPr="00904C1F" w:rsidP="00904C1F">
      <w:pPr>
        <w:pStyle w:val="Heading1"/>
      </w:pPr>
      <w:bookmarkStart w:id="7" w:name="O_1195154"/>
      <w:bookmarkEnd w:id="7"/>
      <w:r w:rsidRPr="00904C1F">
        <w:t>Foundation Skills</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t>Foundation skills essential to performance are explicit in the performance criteria of this unit of competency.</w:t>
            </w:r>
          </w:p>
        </w:tc>
      </w:tr>
    </w:tbl>
    <w:p w:rsidR="00483142" w:rsidP="00904C1F">
      <w:pPr>
        <w:pStyle w:val="NoPaddingFontSize1"/>
      </w:pPr>
    </w:p>
    <w:p w:rsidR="00483142" w:rsidP="00904C1F">
      <w:pPr>
        <w:pStyle w:val="NoPaddingFontSize1"/>
      </w:pPr>
    </w:p>
    <w:p w:rsidR="00000000" w:rsidRPr="00904C1F" w:rsidP="00904C1F">
      <w:pPr>
        <w:pStyle w:val="Heading1"/>
      </w:pPr>
      <w:bookmarkStart w:id="8" w:name="O_1195153"/>
      <w:bookmarkEnd w:id="8"/>
      <w:r w:rsidRPr="00904C1F">
        <w:t>Range of Conditions</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t>Range is restricted to essential operating conditions and any other variables essential to the work environment.</w:t>
            </w:r>
          </w:p>
          <w:p w:rsidR="00000000" w:rsidRPr="00904C1F" w:rsidP="00904C1F">
            <w:pPr>
              <w:pStyle w:val="BodyText"/>
            </w:pPr>
            <w:r w:rsidRPr="00904C1F">
              <w:t>Non-essential conditions can be found in the TLI Transport and Logistics Training Package Companion Volume Implementation Guide.</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9" w:name="O_1195152"/>
      <w:bookmarkEnd w:id="9"/>
      <w:r w:rsidRPr="00904C1F">
        <w:t>Unit Mapping Information</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t>This unit replaces and is equivalent to TLIX4028A Apply knowledge of logistics.</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10" w:name="O_1195161"/>
      <w:bookmarkEnd w:id="10"/>
      <w:r w:rsidRPr="00904C1F">
        <w:t>Links</w:t>
      </w:r>
    </w:p>
    <w:p w:rsidR="00000000" w:rsidRPr="00904C1F" w:rsidP="00483142">
      <w:pPr>
        <w:pStyle w:val="BodyText"/>
      </w:pPr>
      <w:r w:rsidRPr="00904C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C4FB1">
        <w:rPr>
          <w:rStyle w:val="Hyperlink"/>
        </w:rPr>
        <w:t>https://vetnet.gov.au/Pages/TrainingDocs.aspx?q=df441c6e-213d-43e3-874c-0b3f7036d851</w:t>
      </w:r>
      <w:r>
        <w:fldChar w:fldCharType="end"/>
      </w:r>
    </w:p>
    <w:p w:rsidR="00000000" w:rsidRPr="00904C1F" w:rsidP="00483142">
      <w:pPr>
        <w:pStyle w:val="BodyText"/>
        <w:sectPr w:rsidSect="00904C1F">
          <w:headerReference w:type="default" r:id="rId10"/>
          <w:footerReference w:type="default" r:id="rId11"/>
          <w:pgSz w:w="11908" w:h="16833"/>
          <w:pgMar w:top="1702" w:right="1418" w:bottom="1702" w:left="1418" w:header="992" w:footer="992" w:gutter="0"/>
          <w:cols w:space="720"/>
          <w:noEndnote/>
          <w:docGrid w:linePitch="299"/>
        </w:sectPr>
      </w:pPr>
    </w:p>
    <w:p w:rsidR="00000000" w:rsidRPr="00904C1F" w:rsidP="00904C1F">
      <w:pPr>
        <w:pStyle w:val="SuperHeading"/>
      </w:pPr>
      <w:r w:rsidRPr="00904C1F">
        <w:t>Assessment Requirements for TLIX4028 Apply knowledge of logistics</w:t>
      </w:r>
    </w:p>
    <w:p w:rsidR="00000000" w:rsidRPr="00904C1F" w:rsidP="00904C1F">
      <w:pPr>
        <w:pStyle w:val="Heading1"/>
      </w:pPr>
      <w:bookmarkStart w:id="11" w:name="O_1195150"/>
      <w:bookmarkEnd w:id="11"/>
      <w:r w:rsidRPr="00904C1F">
        <w:t>Modification History</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rPr>
                <w:rStyle w:val="SpecialBold"/>
              </w:rPr>
              <w:t>Release 2.</w:t>
            </w:r>
            <w:r w:rsidRPr="00904C1F">
              <w:t xml:space="preserve"> This is the second release of this unit of competency in the TLI Transport and Logistics Training Package.</w:t>
            </w:r>
          </w:p>
          <w:p w:rsidR="00000000" w:rsidP="00904C1F">
            <w:pPr>
              <w:pStyle w:val="ListBullet"/>
              <w:rPr>
                <w:lang w:val="en-NZ"/>
              </w:rPr>
            </w:pPr>
            <w:r w:rsidRPr="00904C1F">
              <w:t>Updated wording to Application and Assessment Conditions.</w:t>
            </w:r>
          </w:p>
        </w:tc>
      </w:tr>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rPr>
                <w:rStyle w:val="SpecialBold"/>
              </w:rPr>
              <w:t xml:space="preserve">Release 1. </w:t>
            </w:r>
            <w:r w:rsidRPr="00904C1F">
              <w:t>This is the first release of this unit of competency in the TLI Transport and</w:t>
            </w:r>
            <w:r w:rsidRPr="00904C1F">
              <w:t xml:space="preserve"> Logistics Training Package.</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12" w:name="O_1195149"/>
      <w:bookmarkEnd w:id="12"/>
      <w:r w:rsidRPr="00904C1F">
        <w:t>Performance Evidence</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t>Evidence required to demonstrate competence in this unit must be relevant to and satisfy all of the requirements of the elements and performance criteria on at least one occasion and in</w:t>
            </w:r>
            <w:r w:rsidRPr="00904C1F">
              <w:t>clude:</w:t>
            </w:r>
          </w:p>
        </w:tc>
      </w:tr>
      <w:tr w:rsidTr="00904C1F">
        <w:tblPrEx>
          <w:tblW w:w="9497" w:type="dxa"/>
          <w:tblLayout w:type="fixed"/>
          <w:tblCellMar>
            <w:left w:w="62" w:type="dxa"/>
            <w:right w:w="62" w:type="dxa"/>
          </w:tblCellMar>
          <w:tblLook w:val="0000"/>
        </w:tblPrEx>
        <w:trPr>
          <w:trHeight w:val="2176"/>
        </w:trPr>
        <w:tc>
          <w:tcPr>
            <w:tcW w:w="9497" w:type="dxa"/>
            <w:tcBorders>
              <w:top w:val="nil"/>
              <w:left w:val="nil"/>
              <w:bottom w:val="nil"/>
              <w:right w:val="nil"/>
            </w:tcBorders>
            <w:tcMar>
              <w:top w:w="0" w:type="dxa"/>
              <w:left w:w="62" w:type="dxa"/>
              <w:bottom w:w="0" w:type="dxa"/>
              <w:right w:w="62" w:type="dxa"/>
            </w:tcMar>
          </w:tcPr>
          <w:p w:rsidR="00000000" w:rsidRPr="00904C1F" w:rsidP="00904C1F">
            <w:pPr>
              <w:pStyle w:val="ListBullet"/>
            </w:pPr>
            <w:r w:rsidRPr="00904C1F">
              <w:t>adhering to relevant logistics requirements</w:t>
            </w:r>
          </w:p>
          <w:p w:rsidR="00000000" w:rsidRPr="00904C1F" w:rsidP="00904C1F">
            <w:pPr>
              <w:pStyle w:val="ListBullet"/>
            </w:pPr>
            <w:r w:rsidRPr="00904C1F">
              <w:t xml:space="preserve">analysing and interpreting logistics information to determine where internal and external factors impact on the logistics requirements, and adjusting planning accordingly </w:t>
            </w:r>
          </w:p>
          <w:p w:rsidR="00000000" w:rsidRPr="00904C1F" w:rsidP="00904C1F">
            <w:pPr>
              <w:pStyle w:val="ListBullet"/>
            </w:pPr>
            <w:r w:rsidRPr="00904C1F">
              <w:t>applying knowledge of logistics to assist work and to guide problem solving</w:t>
            </w:r>
          </w:p>
          <w:p w:rsidR="00000000" w:rsidRPr="00904C1F" w:rsidP="00904C1F">
            <w:pPr>
              <w:pStyle w:val="ListBullet"/>
            </w:pPr>
            <w:r w:rsidRPr="00904C1F">
              <w:t>communicating key logistics information clearly, presenting information confidently and selecting the appropriate communication medium for a range of audiences</w:t>
            </w:r>
          </w:p>
          <w:p w:rsidR="00000000" w:rsidRPr="00904C1F" w:rsidP="00904C1F">
            <w:pPr>
              <w:pStyle w:val="ListBullet"/>
            </w:pPr>
            <w:r w:rsidRPr="00904C1F">
              <w:t>using appropriate in</w:t>
            </w:r>
            <w:r w:rsidRPr="00904C1F">
              <w:t>formation technology and software.</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13" w:name="O_1195148"/>
      <w:bookmarkEnd w:id="13"/>
      <w:r w:rsidRPr="00904C1F">
        <w:t>Knowledge Evidence</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904C1F">
            <w:pPr>
              <w:pStyle w:val="BodyText"/>
              <w:rPr>
                <w:lang w:val="en-NZ"/>
              </w:rPr>
            </w:pPr>
            <w:r w:rsidRPr="00904C1F">
              <w:t>Evidence required to demonstrate competence in this unit must be relevant to and satisfy all of the requirements of the elements and performance criteria and include knowledge of:</w:t>
            </w:r>
          </w:p>
        </w:tc>
      </w:tr>
      <w:tr w:rsidTr="00904C1F">
        <w:tblPrEx>
          <w:tblW w:w="9497" w:type="dxa"/>
          <w:tblLayout w:type="fixed"/>
          <w:tblCellMar>
            <w:left w:w="62" w:type="dxa"/>
            <w:right w:w="62" w:type="dxa"/>
          </w:tblCellMar>
          <w:tblLook w:val="0000"/>
        </w:tblPrEx>
        <w:trPr>
          <w:trHeight w:val="1031"/>
        </w:trPr>
        <w:tc>
          <w:tcPr>
            <w:tcW w:w="9497" w:type="dxa"/>
            <w:tcBorders>
              <w:top w:val="nil"/>
              <w:left w:val="nil"/>
              <w:bottom w:val="nil"/>
              <w:right w:val="nil"/>
            </w:tcBorders>
            <w:tcMar>
              <w:top w:w="0" w:type="dxa"/>
              <w:left w:w="62" w:type="dxa"/>
              <w:bottom w:w="0" w:type="dxa"/>
              <w:right w:w="62" w:type="dxa"/>
            </w:tcMar>
          </w:tcPr>
          <w:p w:rsidR="00000000" w:rsidRPr="00904C1F" w:rsidP="00904C1F">
            <w:pPr>
              <w:pStyle w:val="ListBullet"/>
            </w:pPr>
            <w:r w:rsidRPr="00904C1F">
              <w:t>logistics information or information systems</w:t>
            </w:r>
          </w:p>
          <w:p w:rsidR="00000000" w:rsidRPr="00904C1F" w:rsidP="00904C1F">
            <w:pPr>
              <w:pStyle w:val="ListBullet"/>
            </w:pPr>
            <w:r w:rsidRPr="00904C1F">
              <w:t>logistics knowledge relevant to the work performed</w:t>
            </w:r>
          </w:p>
          <w:p w:rsidR="00000000" w:rsidRPr="00904C1F" w:rsidP="00904C1F">
            <w:pPr>
              <w:pStyle w:val="ListBullet"/>
            </w:pPr>
            <w:r w:rsidRPr="00904C1F">
              <w:t>relevant and industry-specific information regarding the support to capability and support to operations.</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14" w:name="O_1195147"/>
      <w:bookmarkEnd w:id="14"/>
      <w:r w:rsidRPr="00904C1F">
        <w:t>Assessment Conditions</w:t>
      </w:r>
    </w:p>
    <w:tbl>
      <w:tblPr>
        <w:tblW w:w="9497" w:type="dxa"/>
        <w:tblLayout w:type="fixed"/>
        <w:tblCellMar>
          <w:left w:w="62" w:type="dxa"/>
          <w:right w:w="62" w:type="dxa"/>
        </w:tblCellMar>
        <w:tblLook w:val="0000"/>
      </w:tblPr>
      <w:tblGrid>
        <w:gridCol w:w="9497"/>
      </w:tblGrid>
      <w:tr w:rsidTr="00904C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4C1F" w:rsidP="00904C1F">
            <w:pPr>
              <w:pStyle w:val="BodyText"/>
            </w:pPr>
            <w:r w:rsidRPr="00904C1F">
              <w:t xml:space="preserve">Assessors must hold credentials specified within the Standards for Registered Training Organisations current at the time of assessment. </w:t>
            </w:r>
          </w:p>
          <w:p w:rsidR="00000000" w:rsidRPr="00904C1F" w:rsidP="00904C1F">
            <w:pPr>
              <w:pStyle w:val="BodyText"/>
            </w:pPr>
            <w:r w:rsidRPr="00904C1F">
              <w:t>Assessment must satisfy the Principles of Assessment and Rules of Evidence and all regulatory requirements included wit</w:t>
            </w:r>
            <w:r w:rsidRPr="00904C1F">
              <w:t>hin the Standards for Registered Training Organisations current at the time of assessment.</w:t>
            </w:r>
          </w:p>
          <w:p w:rsidR="00000000" w:rsidRPr="00904C1F" w:rsidP="00904C1F">
            <w:pPr>
              <w:pStyle w:val="BodyText"/>
            </w:pPr>
            <w:r w:rsidRPr="00904C1F">
              <w:t>Assessment must occur in workplace operational situations where it is appropriate to do so; where this is not appropriate, assessment must occur in simulated workpla</w:t>
            </w:r>
            <w:r w:rsidRPr="00904C1F">
              <w:t>ce operational situations that replicate workplace conditions.</w:t>
            </w:r>
          </w:p>
          <w:p w:rsidR="00000000" w:rsidRPr="00904C1F" w:rsidP="00904C1F">
            <w:pPr>
              <w:pStyle w:val="BodyText"/>
            </w:pPr>
            <w:r w:rsidRPr="00904C1F">
              <w:t>Assessment processes and techniques must be appropriate to the language, literacy and numeracy requirements of the work being performed and the needs of the candidate.</w:t>
            </w:r>
          </w:p>
          <w:p w:rsidR="00000000" w:rsidRPr="00904C1F" w:rsidP="00904C1F">
            <w:pPr>
              <w:pStyle w:val="BodyText"/>
            </w:pPr>
            <w:r w:rsidRPr="00904C1F">
              <w:t xml:space="preserve">Resources for assessment </w:t>
            </w:r>
            <w:r w:rsidRPr="00904C1F">
              <w:t>must include access to:</w:t>
            </w:r>
          </w:p>
          <w:p w:rsidR="00000000" w:rsidRPr="00904C1F" w:rsidP="00904C1F">
            <w:pPr>
              <w:pStyle w:val="ListBullet2"/>
            </w:pPr>
            <w:r w:rsidRPr="00904C1F">
              <w:t>a range of relevant exercises, case studies and/or simulations</w:t>
            </w:r>
          </w:p>
          <w:p w:rsidR="00000000" w:rsidRPr="00904C1F" w:rsidP="00904C1F">
            <w:pPr>
              <w:pStyle w:val="ListBullet2"/>
            </w:pPr>
            <w:r w:rsidRPr="00904C1F">
              <w:t>relevant and appropriate materials, tools, equipment and personal protective equipment (PPE) currently used in industry</w:t>
            </w:r>
          </w:p>
          <w:p w:rsidR="00000000" w:rsidRPr="00904C1F" w:rsidP="00904C1F">
            <w:pPr>
              <w:pStyle w:val="ListBullet2"/>
            </w:pPr>
            <w:r w:rsidRPr="00904C1F">
              <w:t>applicable documentation, including legislation,</w:t>
            </w:r>
            <w:r w:rsidRPr="00904C1F">
              <w:t xml:space="preserve"> regulations, codes of practice, workplace procedures and operation manuals.</w:t>
            </w:r>
          </w:p>
        </w:tc>
      </w:tr>
    </w:tbl>
    <w:p w:rsidR="00000000" w:rsidRPr="00904C1F" w:rsidP="00904C1F">
      <w:pPr>
        <w:pStyle w:val="NoPaddingFontSize1"/>
      </w:pPr>
    </w:p>
    <w:p w:rsidR="00000000" w:rsidRPr="00904C1F" w:rsidP="00904C1F">
      <w:pPr>
        <w:pStyle w:val="AllowPageBreak"/>
      </w:pPr>
    </w:p>
    <w:p w:rsidR="00000000" w:rsidRPr="00904C1F" w:rsidP="00904C1F">
      <w:pPr>
        <w:pStyle w:val="Heading1"/>
      </w:pPr>
      <w:bookmarkStart w:id="15" w:name="O_1195162"/>
      <w:bookmarkEnd w:id="15"/>
      <w:r w:rsidRPr="00904C1F">
        <w:t>Links</w:t>
      </w:r>
    </w:p>
    <w:p w:rsidR="00000000" w:rsidRPr="00904C1F" w:rsidP="00483142">
      <w:pPr>
        <w:pStyle w:val="BodyText"/>
      </w:pPr>
      <w:r w:rsidRPr="00904C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C4FB1">
        <w:rPr>
          <w:rStyle w:val="Hyperlink"/>
        </w:rPr>
        <w:t>https://vetnet.gov.au/Pages/TrainingDocs.aspx?q=df441c6e-213d-43e3-874c-0b3f7036d851</w:t>
      </w:r>
      <w:r>
        <w:fldChar w:fldCharType="end"/>
      </w:r>
    </w:p>
    <w:p w:rsidR="00000000" w:rsidRPr="00904C1F" w:rsidP="00904C1F"/>
    <w:sectPr w:rsidSect="00904C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1F" w:rsidRPr="00483142" w:rsidP="00483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42" w:rsidP="00904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142" w:rsidP="00904C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83142" w:rsidP="00904C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1F" w:rsidP="00904C1F">
    <w:pPr>
      <w:pStyle w:val="Footer"/>
      <w:framePr w:wrap="around"/>
    </w:pPr>
    <w:r>
      <w:fldChar w:fldCharType="begin"/>
    </w:r>
    <w:r>
      <w:instrText xml:space="preserve"> DOCPROPERTY  Subject  \* MERGEFORMAT </w:instrText>
    </w:r>
    <w:r>
      <w:fldChar w:fldCharType="separate"/>
    </w:r>
    <w:r w:rsidR="00483142">
      <w:t>Approved</w:t>
    </w:r>
    <w:r w:rsidR="00483142">
      <w:fldChar w:fldCharType="end"/>
    </w:r>
    <w:r>
      <w:tab/>
      <w:t xml:space="preserve">Page </w:t>
    </w:r>
    <w:r>
      <w:fldChar w:fldCharType="begin"/>
    </w:r>
    <w:r>
      <w:instrText xml:space="preserve"> PAGE  \* Arabic  \* MERGEFORMAT </w:instrText>
    </w:r>
    <w:r>
      <w:fldChar w:fldCharType="separate"/>
    </w:r>
    <w:r w:rsidR="004831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3142">
      <w:rPr>
        <w:noProof/>
      </w:rPr>
      <w:t>4</w:t>
    </w:r>
    <w:r>
      <w:rPr>
        <w:noProof/>
      </w:rPr>
      <w:fldChar w:fldCharType="end"/>
    </w:r>
  </w:p>
  <w:p w:rsidR="00904C1F" w:rsidP="00904C1F">
    <w:pPr>
      <w:pStyle w:val="Footer"/>
      <w:framePr w:wrap="around"/>
    </w:pPr>
    <w:r>
      <w:t xml:space="preserve">© Commonwealth of Australia, </w:t>
    </w:r>
    <w:r>
      <w:fldChar w:fldCharType="begin"/>
    </w:r>
    <w:r>
      <w:instrText xml:space="preserve"> DATE  \@ "yyyy"  \* MERGEFORMAT </w:instrText>
    </w:r>
    <w:r>
      <w:fldChar w:fldCharType="separate"/>
    </w:r>
    <w:r w:rsidR="00483142">
      <w:rPr>
        <w:noProof/>
      </w:rPr>
      <w:t>2025</w:t>
    </w:r>
    <w:r>
      <w:fldChar w:fldCharType="end"/>
    </w:r>
    <w:r>
      <w:tab/>
    </w:r>
    <w:r>
      <w:fldChar w:fldCharType="begin"/>
    </w:r>
    <w:r>
      <w:instrText xml:space="preserve"> DOCPROPERTY  Author  \* MERGEFORMAT </w:instrText>
    </w:r>
    <w:r>
      <w:fldChar w:fldCharType="separate"/>
    </w:r>
    <w:r w:rsidR="00483142">
      <w:t>Industry Skills Australia</w:t>
    </w:r>
    <w:r w:rsidR="00483142">
      <w:fldChar w:fldCharType="end"/>
    </w:r>
  </w:p>
  <w:p w:rsidR="00904C1F" w:rsidP="00904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C1F" w:rsidRPr="00483142" w:rsidP="004831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42" w:rsidRPr="002D2AF8" w:rsidP="00904C1F">
    <w:pPr>
      <w:pStyle w:val="Header"/>
      <w:framePr w:wrap="around"/>
    </w:pPr>
    <w:r>
      <w:fldChar w:fldCharType="begin"/>
    </w:r>
    <w:r>
      <w:instrText xml:space="preserve"> TITLE   \* MERGEFORMAT </w:instrText>
    </w:r>
    <w:r>
      <w:fldChar w:fldCharType="separate"/>
    </w:r>
    <w:r>
      <w:t>TLIX4028 Apply knowledge of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3142" w:rsidP="00904C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1F" w:rsidRPr="002D2AF8" w:rsidP="00904C1F">
    <w:pPr>
      <w:pStyle w:val="Header"/>
      <w:framePr w:wrap="around"/>
    </w:pPr>
    <w:r>
      <w:fldChar w:fldCharType="begin"/>
    </w:r>
    <w:r>
      <w:instrText xml:space="preserve"> TITLE   \* MERGEFORMAT </w:instrText>
    </w:r>
    <w:r>
      <w:fldChar w:fldCharType="separate"/>
    </w:r>
    <w:r w:rsidR="00483142">
      <w:t>TLIX4028 Apply knowledge of logistics</w:t>
    </w:r>
    <w:r w:rsidR="00483142">
      <w:fldChar w:fldCharType="end"/>
    </w:r>
    <w:r>
      <w:tab/>
      <w:t xml:space="preserve">Date this document was generated: </w:t>
    </w:r>
    <w:r>
      <w:fldChar w:fldCharType="begin"/>
    </w:r>
    <w:r>
      <w:instrText xml:space="preserve"> CREATEDATE  \@ "d MMMM yyyy"  \* MERGEFORMAT </w:instrText>
    </w:r>
    <w:r>
      <w:fldChar w:fldCharType="separate"/>
    </w:r>
    <w:r w:rsidR="00483142">
      <w:rPr>
        <w:noProof/>
      </w:rPr>
      <w:t>2 March 2025</w:t>
    </w:r>
    <w:r>
      <w:fldChar w:fldCharType="end"/>
    </w:r>
  </w:p>
  <w:p w:rsidR="00904C1F" w:rsidP="00904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147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646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82E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C1F"/>
    <w:pPr>
      <w:spacing w:before="360" w:after="60"/>
      <w:outlineLvl w:val="0"/>
    </w:pPr>
    <w:rPr>
      <w:sz w:val="32"/>
    </w:rPr>
  </w:style>
  <w:style w:type="paragraph" w:styleId="Heading2">
    <w:name w:val="heading 2"/>
    <w:basedOn w:val="HeadingBase"/>
    <w:next w:val="BodyText"/>
    <w:link w:val="Heading2Char"/>
    <w:qFormat/>
    <w:rsid w:val="00904C1F"/>
    <w:pPr>
      <w:keepLines/>
      <w:spacing w:before="240" w:after="120"/>
      <w:outlineLvl w:val="1"/>
    </w:pPr>
    <w:rPr>
      <w:sz w:val="28"/>
      <w:szCs w:val="40"/>
    </w:rPr>
  </w:style>
  <w:style w:type="paragraph" w:styleId="Heading3">
    <w:name w:val="heading 3"/>
    <w:basedOn w:val="HeadingBase"/>
    <w:next w:val="BodyText"/>
    <w:link w:val="Heading3Char"/>
    <w:qFormat/>
    <w:rsid w:val="00904C1F"/>
    <w:pPr>
      <w:spacing w:before="180" w:after="120"/>
      <w:outlineLvl w:val="2"/>
    </w:pPr>
    <w:rPr>
      <w:spacing w:val="-10"/>
      <w:kern w:val="32"/>
    </w:rPr>
  </w:style>
  <w:style w:type="paragraph" w:styleId="Heading4">
    <w:name w:val="heading 4"/>
    <w:basedOn w:val="HeadingBase"/>
    <w:next w:val="BodyText"/>
    <w:link w:val="Heading4Char"/>
    <w:qFormat/>
    <w:rsid w:val="00904C1F"/>
    <w:pPr>
      <w:spacing w:before="160" w:after="120"/>
      <w:outlineLvl w:val="3"/>
    </w:pPr>
    <w:rPr>
      <w:sz w:val="22"/>
    </w:rPr>
  </w:style>
  <w:style w:type="paragraph" w:styleId="Heading5">
    <w:name w:val="heading 5"/>
    <w:basedOn w:val="HeadingBase"/>
    <w:next w:val="Normal"/>
    <w:link w:val="Heading5Char"/>
    <w:qFormat/>
    <w:rsid w:val="00904C1F"/>
    <w:pPr>
      <w:spacing w:before="80"/>
      <w:outlineLvl w:val="4"/>
    </w:pPr>
    <w:rPr>
      <w:color w:val="918585"/>
      <w:sz w:val="20"/>
    </w:rPr>
  </w:style>
  <w:style w:type="paragraph" w:styleId="Heading6">
    <w:name w:val="heading 6"/>
    <w:basedOn w:val="HeadingBase"/>
    <w:next w:val="Normal"/>
    <w:link w:val="Heading6Char"/>
    <w:qFormat/>
    <w:rsid w:val="00904C1F"/>
    <w:pPr>
      <w:spacing w:before="60"/>
      <w:outlineLvl w:val="5"/>
    </w:pPr>
    <w:rPr>
      <w:color w:val="918585"/>
      <w:sz w:val="20"/>
    </w:rPr>
  </w:style>
  <w:style w:type="paragraph" w:styleId="Heading7">
    <w:name w:val="heading 7"/>
    <w:basedOn w:val="Normal"/>
    <w:next w:val="Normal"/>
    <w:link w:val="Heading7Char"/>
    <w:qFormat/>
    <w:rsid w:val="00904C1F"/>
    <w:pPr>
      <w:ind w:left="720"/>
      <w:outlineLvl w:val="6"/>
    </w:pPr>
    <w:rPr>
      <w:i/>
    </w:rPr>
  </w:style>
  <w:style w:type="paragraph" w:styleId="Heading8">
    <w:name w:val="heading 8"/>
    <w:basedOn w:val="Normal"/>
    <w:next w:val="Normal"/>
    <w:link w:val="Heading8Char"/>
    <w:qFormat/>
    <w:rsid w:val="00904C1F"/>
    <w:pPr>
      <w:ind w:left="720"/>
      <w:outlineLvl w:val="7"/>
    </w:pPr>
    <w:rPr>
      <w:i/>
    </w:rPr>
  </w:style>
  <w:style w:type="paragraph" w:styleId="Heading9">
    <w:name w:val="heading 9"/>
    <w:basedOn w:val="Normal"/>
    <w:next w:val="Normal"/>
    <w:link w:val="Heading9Char"/>
    <w:qFormat/>
    <w:rsid w:val="00904C1F"/>
    <w:pPr>
      <w:ind w:left="720"/>
      <w:outlineLvl w:val="8"/>
    </w:pPr>
    <w:rPr>
      <w:i/>
    </w:rPr>
  </w:style>
  <w:style w:type="character" w:default="1" w:styleId="DefaultParagraphFont">
    <w:name w:val="Default Paragraph Font"/>
    <w:uiPriority w:val="1"/>
    <w:unhideWhenUsed/>
    <w:rsid w:val="00904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C1F"/>
  </w:style>
  <w:style w:type="character" w:customStyle="1" w:styleId="Heading1Char">
    <w:name w:val="Heading 1 Char"/>
    <w:basedOn w:val="DefaultParagraphFont"/>
    <w:link w:val="Heading1"/>
    <w:rsid w:val="00904C1F"/>
    <w:rPr>
      <w:rFonts w:ascii="Times New Roman" w:eastAsia="Times New Roman" w:hAnsi="Times New Roman" w:cs="Times New Roman"/>
      <w:b/>
      <w:sz w:val="32"/>
      <w:szCs w:val="20"/>
      <w:lang w:eastAsia="en-US"/>
    </w:rPr>
  </w:style>
  <w:style w:type="paragraph" w:styleId="BodyText">
    <w:name w:val="Body Text"/>
    <w:basedOn w:val="Normal"/>
    <w:link w:val="BodyTextChar"/>
    <w:rsid w:val="00904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C1F"/>
    <w:rPr>
      <w:rFonts w:ascii="Times New Roman" w:eastAsia="Times New Roman" w:hAnsi="Times New Roman" w:cs="Times New Roman"/>
      <w:sz w:val="24"/>
      <w:lang w:eastAsia="en-US"/>
    </w:rPr>
  </w:style>
  <w:style w:type="paragraph" w:styleId="ListBullet">
    <w:name w:val="List Bullet"/>
    <w:basedOn w:val="List"/>
    <w:rsid w:val="00904C1F"/>
    <w:pPr>
      <w:numPr>
        <w:numId w:val="12"/>
      </w:numPr>
      <w:tabs>
        <w:tab w:val="clear" w:pos="340"/>
      </w:tabs>
      <w:spacing w:before="40" w:after="40"/>
    </w:pPr>
  </w:style>
  <w:style w:type="character" w:customStyle="1" w:styleId="SpecialBold">
    <w:name w:val="Special Bold"/>
    <w:basedOn w:val="DefaultParagraphFont"/>
    <w:rsid w:val="00904C1F"/>
    <w:rPr>
      <w:b/>
      <w:spacing w:val="0"/>
    </w:rPr>
  </w:style>
  <w:style w:type="paragraph" w:styleId="ListBullet2">
    <w:name w:val="List Bullet 2"/>
    <w:basedOn w:val="List2"/>
    <w:rsid w:val="00904C1F"/>
    <w:pPr>
      <w:numPr>
        <w:numId w:val="13"/>
      </w:numPr>
      <w:tabs>
        <w:tab w:val="clear" w:pos="680"/>
      </w:tabs>
    </w:pPr>
  </w:style>
  <w:style w:type="paragraph" w:customStyle="1" w:styleId="SuperHeading">
    <w:name w:val="SuperHeading"/>
    <w:basedOn w:val="Normal"/>
    <w:rsid w:val="00904C1F"/>
    <w:pPr>
      <w:spacing w:before="240" w:after="120"/>
      <w:outlineLvl w:val="0"/>
    </w:pPr>
    <w:rPr>
      <w:rFonts w:ascii="Times New Roman" w:hAnsi="Times New Roman"/>
      <w:b/>
      <w:sz w:val="32"/>
    </w:rPr>
  </w:style>
  <w:style w:type="paragraph" w:customStyle="1" w:styleId="AllowPageBreak">
    <w:name w:val="AllowPageBreak"/>
    <w:rsid w:val="00904C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4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C1F"/>
    <w:rPr>
      <w:rFonts w:ascii="Courier New" w:eastAsia="Times New Roman" w:hAnsi="Courier New" w:cs="Times New Roman"/>
      <w:i/>
      <w:szCs w:val="20"/>
      <w:lang w:eastAsia="en-US"/>
    </w:rPr>
  </w:style>
  <w:style w:type="paragraph" w:customStyle="1" w:styleId="HeadingBase">
    <w:name w:val="Heading Base"/>
    <w:rsid w:val="00904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C1F"/>
    <w:pPr>
      <w:tabs>
        <w:tab w:val="right" w:leader="dot" w:pos="9072"/>
      </w:tabs>
      <w:ind w:left="567"/>
    </w:pPr>
    <w:rPr>
      <w:szCs w:val="22"/>
    </w:rPr>
  </w:style>
  <w:style w:type="paragraph" w:customStyle="1" w:styleId="TOCBase">
    <w:name w:val="TOC Base"/>
    <w:rsid w:val="00904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C1F"/>
    <w:pPr>
      <w:tabs>
        <w:tab w:val="right" w:leader="dot" w:pos="9072"/>
      </w:tabs>
      <w:spacing w:before="40" w:after="40"/>
      <w:ind w:left="284"/>
    </w:pPr>
    <w:rPr>
      <w:rFonts w:ascii="Times New Roman" w:hAnsi="Times New Roman"/>
    </w:rPr>
  </w:style>
  <w:style w:type="paragraph" w:styleId="TOC1">
    <w:name w:val="toc 1"/>
    <w:basedOn w:val="TOCBase"/>
    <w:next w:val="Normal"/>
    <w:rsid w:val="00904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C1F"/>
    <w:rPr>
      <w:rFonts w:ascii="Times New Roman" w:eastAsia="Times New Roman" w:hAnsi="Times New Roman" w:cs="Times New Roman"/>
      <w:sz w:val="16"/>
      <w:lang w:eastAsia="en-US"/>
    </w:rPr>
  </w:style>
  <w:style w:type="paragraph" w:styleId="Title">
    <w:name w:val="Title"/>
    <w:basedOn w:val="HeadingBase"/>
    <w:link w:val="TitleChar"/>
    <w:qFormat/>
    <w:rsid w:val="00904C1F"/>
    <w:pPr>
      <w:spacing w:before="5040"/>
      <w:jc w:val="center"/>
    </w:pPr>
    <w:rPr>
      <w:sz w:val="48"/>
      <w:szCs w:val="72"/>
      <w:lang w:val="en-US"/>
    </w:rPr>
  </w:style>
  <w:style w:type="character" w:customStyle="1" w:styleId="TitleChar">
    <w:name w:val="Title Char"/>
    <w:basedOn w:val="DefaultParagraphFont"/>
    <w:link w:val="Title"/>
    <w:rsid w:val="00904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C1F"/>
    <w:pPr>
      <w:tabs>
        <w:tab w:val="left" w:pos="3600"/>
        <w:tab w:val="left" w:pos="3958"/>
      </w:tabs>
    </w:pPr>
  </w:style>
  <w:style w:type="paragraph" w:styleId="List">
    <w:name w:val="List"/>
    <w:basedOn w:val="BodyText"/>
    <w:next w:val="BodyText"/>
    <w:rsid w:val="00904C1F"/>
    <w:pPr>
      <w:tabs>
        <w:tab w:val="left" w:pos="340"/>
      </w:tabs>
      <w:spacing w:before="60" w:after="60"/>
      <w:ind w:left="340" w:hanging="340"/>
    </w:pPr>
  </w:style>
  <w:style w:type="paragraph" w:customStyle="1" w:styleId="Note">
    <w:name w:val="Note"/>
    <w:basedOn w:val="BodyText"/>
    <w:rsid w:val="00904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C1F"/>
    <w:pPr>
      <w:framePr w:wrap="auto" w:hAnchor="text" w:y="6049"/>
    </w:pPr>
    <w:rPr>
      <w:color w:val="000000"/>
      <w:sz w:val="40"/>
    </w:rPr>
  </w:style>
  <w:style w:type="paragraph" w:customStyle="1" w:styleId="TOCTitle">
    <w:name w:val="TOCTitle"/>
    <w:basedOn w:val="Heading1"/>
    <w:rsid w:val="00904C1F"/>
    <w:pPr>
      <w:spacing w:after="240"/>
      <w:jc w:val="center"/>
      <w:outlineLvl w:val="9"/>
    </w:pPr>
    <w:rPr>
      <w:caps/>
    </w:rPr>
  </w:style>
  <w:style w:type="paragraph" w:customStyle="1" w:styleId="Version">
    <w:name w:val="Version"/>
    <w:rsid w:val="00904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C1F"/>
    <w:pPr>
      <w:keepNext w:val="0"/>
      <w:tabs>
        <w:tab w:val="right" w:pos="4176"/>
      </w:tabs>
      <w:ind w:left="198" w:hanging="198"/>
    </w:pPr>
    <w:rPr>
      <w:rFonts w:ascii="Garamond" w:hAnsi="Garamond"/>
    </w:rPr>
  </w:style>
  <w:style w:type="paragraph" w:styleId="IndexHeading">
    <w:name w:val="index heading"/>
    <w:basedOn w:val="Normal"/>
    <w:next w:val="Index1"/>
    <w:semiHidden/>
    <w:rsid w:val="00904C1F"/>
    <w:pPr>
      <w:spacing w:before="120" w:after="120"/>
    </w:pPr>
    <w:rPr>
      <w:rFonts w:ascii="Arial" w:hAnsi="Arial"/>
      <w:b/>
      <w:color w:val="918585"/>
      <w:sz w:val="24"/>
    </w:rPr>
  </w:style>
  <w:style w:type="paragraph" w:styleId="Header">
    <w:name w:val="header"/>
    <w:basedOn w:val="Normal"/>
    <w:link w:val="HeaderChar"/>
    <w:rsid w:val="00904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C1F"/>
    <w:rPr>
      <w:rFonts w:ascii="Times New Roman" w:eastAsia="Times New Roman" w:hAnsi="Times New Roman" w:cs="Times New Roman"/>
      <w:sz w:val="16"/>
      <w:szCs w:val="20"/>
      <w:lang w:val="en-GB" w:eastAsia="en-US"/>
    </w:rPr>
  </w:style>
  <w:style w:type="paragraph" w:customStyle="1" w:styleId="Chapter">
    <w:name w:val="Chapter"/>
    <w:basedOn w:val="Normal"/>
    <w:rsid w:val="00904C1F"/>
    <w:pPr>
      <w:spacing w:before="240"/>
    </w:pPr>
    <w:rPr>
      <w:rFonts w:ascii="Times New Roman" w:hAnsi="Times New Roman"/>
      <w:smallCaps/>
      <w:spacing w:val="80"/>
      <w:sz w:val="28"/>
    </w:rPr>
  </w:style>
  <w:style w:type="paragraph" w:customStyle="1" w:styleId="InChapter">
    <w:name w:val="InChapter"/>
    <w:basedOn w:val="Heading3"/>
    <w:rsid w:val="00904C1F"/>
    <w:pPr>
      <w:spacing w:after="240"/>
      <w:outlineLvl w:val="9"/>
    </w:pPr>
    <w:rPr>
      <w:noProof/>
    </w:rPr>
  </w:style>
  <w:style w:type="paragraph" w:styleId="Index2">
    <w:name w:val="index 2"/>
    <w:basedOn w:val="Normal"/>
    <w:next w:val="Normal"/>
    <w:semiHidden/>
    <w:rsid w:val="00904C1F"/>
    <w:pPr>
      <w:tabs>
        <w:tab w:val="right" w:pos="4176"/>
      </w:tabs>
      <w:ind w:left="568" w:hanging="284"/>
    </w:pPr>
    <w:rPr>
      <w:rFonts w:ascii="Garamond" w:hAnsi="Garamond"/>
    </w:rPr>
  </w:style>
  <w:style w:type="paragraph" w:customStyle="1" w:styleId="Byline">
    <w:name w:val="Byline"/>
    <w:rsid w:val="00904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C1F"/>
    <w:pPr>
      <w:tabs>
        <w:tab w:val="clear" w:pos="3600"/>
        <w:tab w:val="clear" w:pos="3958"/>
      </w:tabs>
      <w:jc w:val="right"/>
    </w:pPr>
  </w:style>
  <w:style w:type="character" w:styleId="Emphasis">
    <w:name w:val="Emphasis"/>
    <w:basedOn w:val="DefaultParagraphFont"/>
    <w:qFormat/>
    <w:rsid w:val="00904C1F"/>
    <w:rPr>
      <w:i/>
    </w:rPr>
  </w:style>
  <w:style w:type="paragraph" w:styleId="Caption">
    <w:name w:val="caption"/>
    <w:basedOn w:val="BodyText"/>
    <w:next w:val="Normal"/>
    <w:qFormat/>
    <w:rsid w:val="00904C1F"/>
    <w:pPr>
      <w:framePr w:w="2268" w:hSpace="181" w:vSpace="181" w:wrap="around" w:vAnchor="text" w:hAnchor="page" w:x="1135" w:y="285" w:anchorLock="1"/>
    </w:pPr>
    <w:rPr>
      <w:i/>
    </w:rPr>
  </w:style>
  <w:style w:type="paragraph" w:customStyle="1" w:styleId="MiniTOCTitle">
    <w:name w:val="MiniTOCTitle"/>
    <w:basedOn w:val="Heading4"/>
    <w:rsid w:val="00904C1F"/>
    <w:pPr>
      <w:spacing w:before="240"/>
      <w:outlineLvl w:val="9"/>
    </w:pPr>
    <w:rPr>
      <w:noProof/>
      <w:sz w:val="24"/>
    </w:rPr>
  </w:style>
  <w:style w:type="paragraph" w:customStyle="1" w:styleId="MiniTOCItem">
    <w:name w:val="MiniTOCItem"/>
    <w:basedOn w:val="ListBullet"/>
    <w:rsid w:val="00904C1F"/>
    <w:pPr>
      <w:numPr>
        <w:numId w:val="0"/>
      </w:numPr>
      <w:tabs>
        <w:tab w:val="right" w:leader="dot" w:pos="6521"/>
      </w:tabs>
      <w:spacing w:before="0" w:after="0"/>
    </w:pPr>
  </w:style>
  <w:style w:type="paragraph" w:customStyle="1" w:styleId="TOFTitle">
    <w:name w:val="TOFTitle"/>
    <w:basedOn w:val="TOCTitle"/>
    <w:rsid w:val="00904C1F"/>
  </w:style>
  <w:style w:type="paragraph" w:styleId="TableofFigures">
    <w:name w:val="table of figures"/>
    <w:basedOn w:val="Normal"/>
    <w:next w:val="Normal"/>
    <w:semiHidden/>
    <w:rsid w:val="00904C1F"/>
    <w:pPr>
      <w:tabs>
        <w:tab w:val="right" w:leader="dot" w:pos="9072"/>
      </w:tabs>
      <w:ind w:left="970" w:hanging="403"/>
    </w:pPr>
    <w:rPr>
      <w:rFonts w:ascii="Times New Roman" w:hAnsi="Times New Roman"/>
      <w:b/>
    </w:rPr>
  </w:style>
  <w:style w:type="paragraph" w:styleId="ListNumber">
    <w:name w:val="List Number"/>
    <w:basedOn w:val="List"/>
    <w:rsid w:val="00904C1F"/>
    <w:pPr>
      <w:numPr>
        <w:numId w:val="15"/>
      </w:numPr>
      <w:tabs>
        <w:tab w:val="clear" w:pos="340"/>
      </w:tabs>
    </w:pPr>
  </w:style>
  <w:style w:type="character" w:customStyle="1" w:styleId="WingdingSymbols">
    <w:name w:val="Wingding Symbols"/>
    <w:rsid w:val="00904C1F"/>
    <w:rPr>
      <w:rFonts w:ascii="Wingdings" w:hAnsi="Wingdings"/>
    </w:rPr>
  </w:style>
  <w:style w:type="paragraph" w:customStyle="1" w:styleId="TableHeading">
    <w:name w:val="Table Heading"/>
    <w:basedOn w:val="HeadingBase"/>
    <w:rsid w:val="00904C1F"/>
    <w:pPr>
      <w:keepLines/>
      <w:pBdr>
        <w:bottom w:val="single" w:sz="6" w:space="1" w:color="918585"/>
      </w:pBdr>
      <w:spacing w:before="240"/>
    </w:pPr>
  </w:style>
  <w:style w:type="character" w:customStyle="1" w:styleId="HotSpot">
    <w:name w:val="HotSpot"/>
    <w:rsid w:val="00904C1F"/>
    <w:rPr>
      <w:color w:val="0033CC"/>
      <w:u w:val="none"/>
    </w:rPr>
  </w:style>
  <w:style w:type="paragraph" w:customStyle="1" w:styleId="BodyTextRight">
    <w:name w:val="Body Text Right"/>
    <w:basedOn w:val="BodyText"/>
    <w:rsid w:val="00904C1F"/>
    <w:pPr>
      <w:spacing w:before="0" w:after="0"/>
      <w:jc w:val="right"/>
    </w:pPr>
  </w:style>
  <w:style w:type="paragraph" w:styleId="Index3">
    <w:name w:val="index 3"/>
    <w:basedOn w:val="ListNumber2"/>
    <w:next w:val="Normal"/>
    <w:semiHidden/>
    <w:rsid w:val="00904C1F"/>
    <w:pPr>
      <w:numPr>
        <w:numId w:val="0"/>
      </w:numPr>
      <w:tabs>
        <w:tab w:val="right" w:leader="dot" w:pos="4176"/>
      </w:tabs>
    </w:pPr>
  </w:style>
  <w:style w:type="paragraph" w:styleId="ListNumber2">
    <w:name w:val="List Number 2"/>
    <w:basedOn w:val="List2"/>
    <w:rsid w:val="00904C1F"/>
    <w:pPr>
      <w:numPr>
        <w:numId w:val="10"/>
      </w:numPr>
      <w:tabs>
        <w:tab w:val="clear" w:pos="1060"/>
      </w:tabs>
    </w:pPr>
  </w:style>
  <w:style w:type="paragraph" w:customStyle="1" w:styleId="MarginNote">
    <w:name w:val="Margin Note"/>
    <w:basedOn w:val="BodyText"/>
    <w:rsid w:val="00904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C1F"/>
    <w:rPr>
      <w:sz w:val="32"/>
    </w:rPr>
  </w:style>
  <w:style w:type="paragraph" w:customStyle="1" w:styleId="HeadingProcedure">
    <w:name w:val="Heading Procedure"/>
    <w:basedOn w:val="HeadingBase"/>
    <w:next w:val="Normal"/>
    <w:rsid w:val="00904C1F"/>
    <w:pPr>
      <w:tabs>
        <w:tab w:val="left" w:pos="0"/>
      </w:tabs>
      <w:spacing w:before="120" w:after="60"/>
    </w:pPr>
    <w:rPr>
      <w:i/>
      <w:color w:val="918585"/>
      <w:sz w:val="22"/>
    </w:rPr>
  </w:style>
  <w:style w:type="paragraph" w:customStyle="1" w:styleId="TableBodyText">
    <w:name w:val="Table Body Text"/>
    <w:basedOn w:val="BodyText"/>
    <w:rsid w:val="00904C1F"/>
    <w:pPr>
      <w:spacing w:before="60" w:after="60"/>
    </w:pPr>
  </w:style>
  <w:style w:type="paragraph" w:styleId="ListContinue">
    <w:name w:val="List Continue"/>
    <w:basedOn w:val="List"/>
    <w:rsid w:val="00904C1F"/>
    <w:pPr>
      <w:ind w:firstLine="0"/>
    </w:pPr>
  </w:style>
  <w:style w:type="paragraph" w:customStyle="1" w:styleId="ListNote">
    <w:name w:val="List Note"/>
    <w:basedOn w:val="List"/>
    <w:rsid w:val="00904C1F"/>
    <w:pPr>
      <w:pBdr>
        <w:top w:val="single" w:sz="6" w:space="2" w:color="918585"/>
        <w:bottom w:val="single" w:sz="6" w:space="2" w:color="918585"/>
      </w:pBdr>
      <w:tabs>
        <w:tab w:val="left" w:pos="1021"/>
      </w:tabs>
      <w:ind w:firstLine="0"/>
    </w:pPr>
  </w:style>
  <w:style w:type="paragraph" w:customStyle="1" w:styleId="Warning">
    <w:name w:val="Warning"/>
    <w:basedOn w:val="BodyText"/>
    <w:rsid w:val="00904C1F"/>
    <w:pPr>
      <w:shd w:val="clear" w:color="auto" w:fill="D9D9D9"/>
      <w:tabs>
        <w:tab w:val="left" w:pos="992"/>
      </w:tabs>
      <w:ind w:left="119" w:right="119"/>
    </w:pPr>
    <w:rPr>
      <w:sz w:val="20"/>
    </w:rPr>
  </w:style>
  <w:style w:type="paragraph" w:customStyle="1" w:styleId="MarginIcons">
    <w:name w:val="Margin Icons"/>
    <w:basedOn w:val="BodyText"/>
    <w:rsid w:val="00904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C1F"/>
    <w:rPr>
      <w:rFonts w:ascii="Courier New" w:hAnsi="Courier New"/>
    </w:rPr>
  </w:style>
  <w:style w:type="paragraph" w:customStyle="1" w:styleId="NoteBullet">
    <w:name w:val="Note Bullet"/>
    <w:basedOn w:val="Note"/>
    <w:rsid w:val="00904C1F"/>
    <w:pPr>
      <w:tabs>
        <w:tab w:val="clear" w:pos="680"/>
      </w:tabs>
      <w:spacing w:before="60" w:after="60"/>
    </w:pPr>
  </w:style>
  <w:style w:type="paragraph" w:customStyle="1" w:styleId="SubHeading2">
    <w:name w:val="SubHeading2"/>
    <w:basedOn w:val="HeadingBase"/>
    <w:rsid w:val="00904C1F"/>
    <w:pPr>
      <w:spacing w:before="240" w:after="60"/>
    </w:pPr>
    <w:rPr>
      <w:sz w:val="20"/>
    </w:rPr>
  </w:style>
  <w:style w:type="paragraph" w:customStyle="1" w:styleId="SubHeading1">
    <w:name w:val="SubHeading1"/>
    <w:basedOn w:val="HeadingBase"/>
    <w:rsid w:val="00904C1F"/>
    <w:pPr>
      <w:spacing w:before="240" w:after="60"/>
    </w:pPr>
    <w:rPr>
      <w:color w:val="918585"/>
      <w:sz w:val="22"/>
    </w:rPr>
  </w:style>
  <w:style w:type="paragraph" w:customStyle="1" w:styleId="SideHeading">
    <w:name w:val="Side Heading"/>
    <w:basedOn w:val="HeadingBase"/>
    <w:rsid w:val="00904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C1F"/>
    <w:pPr>
      <w:tabs>
        <w:tab w:val="num" w:pos="360"/>
      </w:tabs>
    </w:pPr>
  </w:style>
  <w:style w:type="paragraph" w:styleId="PlainText">
    <w:name w:val="Plain Text"/>
    <w:basedOn w:val="Normal"/>
    <w:link w:val="PlainTextChar"/>
    <w:rsid w:val="00904C1F"/>
    <w:rPr>
      <w:sz w:val="20"/>
    </w:rPr>
  </w:style>
  <w:style w:type="character" w:customStyle="1" w:styleId="PlainTextChar">
    <w:name w:val="Plain Text Char"/>
    <w:basedOn w:val="DefaultParagraphFont"/>
    <w:link w:val="PlainText"/>
    <w:rsid w:val="00904C1F"/>
    <w:rPr>
      <w:rFonts w:ascii="Courier New" w:eastAsia="Times New Roman" w:hAnsi="Courier New" w:cs="Times New Roman"/>
      <w:sz w:val="20"/>
      <w:szCs w:val="20"/>
      <w:lang w:eastAsia="en-US"/>
    </w:rPr>
  </w:style>
  <w:style w:type="character" w:customStyle="1" w:styleId="MenuOption">
    <w:name w:val="Menu Option"/>
    <w:basedOn w:val="DefaultParagraphFont"/>
    <w:rsid w:val="00904C1F"/>
    <w:rPr>
      <w:b/>
      <w:smallCaps/>
    </w:rPr>
  </w:style>
  <w:style w:type="paragraph" w:customStyle="1" w:styleId="TableListNumber">
    <w:name w:val="Table List Number"/>
    <w:basedOn w:val="ListNumber"/>
    <w:rsid w:val="00904C1F"/>
    <w:pPr>
      <w:numPr>
        <w:numId w:val="0"/>
      </w:numPr>
    </w:pPr>
  </w:style>
  <w:style w:type="paragraph" w:styleId="TOC4">
    <w:name w:val="toc 4"/>
    <w:basedOn w:val="TOCBase"/>
    <w:next w:val="Normal"/>
    <w:semiHidden/>
    <w:rsid w:val="00904C1F"/>
    <w:pPr>
      <w:tabs>
        <w:tab w:val="right" w:leader="dot" w:pos="9071"/>
      </w:tabs>
      <w:ind w:left="1701"/>
    </w:pPr>
  </w:style>
  <w:style w:type="paragraph" w:customStyle="1" w:styleId="ListAlpha">
    <w:name w:val="List Alpha"/>
    <w:basedOn w:val="List"/>
    <w:rsid w:val="00904C1F"/>
    <w:pPr>
      <w:numPr>
        <w:numId w:val="9"/>
      </w:numPr>
    </w:pPr>
  </w:style>
  <w:style w:type="paragraph" w:customStyle="1" w:styleId="ListAlpha2">
    <w:name w:val="List Alpha 2"/>
    <w:basedOn w:val="List2"/>
    <w:rsid w:val="00904C1F"/>
    <w:pPr>
      <w:numPr>
        <w:numId w:val="8"/>
      </w:numPr>
    </w:pPr>
  </w:style>
  <w:style w:type="paragraph" w:styleId="List2">
    <w:name w:val="List 2"/>
    <w:basedOn w:val="BodyText"/>
    <w:rsid w:val="00904C1F"/>
    <w:pPr>
      <w:tabs>
        <w:tab w:val="left" w:pos="680"/>
      </w:tabs>
      <w:spacing w:before="60" w:after="60"/>
      <w:ind w:left="680" w:hanging="340"/>
    </w:pPr>
  </w:style>
  <w:style w:type="paragraph" w:styleId="List3">
    <w:name w:val="List 3"/>
    <w:basedOn w:val="BodyText"/>
    <w:rsid w:val="00904C1F"/>
    <w:pPr>
      <w:tabs>
        <w:tab w:val="left" w:pos="1021"/>
      </w:tabs>
      <w:spacing w:before="60" w:after="60"/>
      <w:ind w:left="1020" w:hanging="340"/>
    </w:pPr>
  </w:style>
  <w:style w:type="paragraph" w:styleId="List4">
    <w:name w:val="List 4"/>
    <w:basedOn w:val="BodyText"/>
    <w:rsid w:val="00904C1F"/>
    <w:pPr>
      <w:tabs>
        <w:tab w:val="left" w:pos="1361"/>
      </w:tabs>
      <w:spacing w:before="60" w:after="60"/>
      <w:ind w:left="1361" w:hanging="340"/>
    </w:pPr>
  </w:style>
  <w:style w:type="paragraph" w:styleId="List5">
    <w:name w:val="List 5"/>
    <w:basedOn w:val="BodyText"/>
    <w:rsid w:val="00904C1F"/>
    <w:pPr>
      <w:tabs>
        <w:tab w:val="left" w:pos="1701"/>
      </w:tabs>
      <w:spacing w:before="60" w:after="60"/>
      <w:ind w:left="1701" w:hanging="340"/>
    </w:pPr>
  </w:style>
  <w:style w:type="paragraph" w:styleId="ListBullet3">
    <w:name w:val="List Bullet 3"/>
    <w:basedOn w:val="List3"/>
    <w:rsid w:val="00904C1F"/>
    <w:pPr>
      <w:numPr>
        <w:numId w:val="14"/>
      </w:numPr>
      <w:tabs>
        <w:tab w:val="clear" w:pos="1021"/>
      </w:tabs>
      <w:ind w:left="1037" w:hanging="357"/>
    </w:pPr>
  </w:style>
  <w:style w:type="paragraph" w:styleId="ListBullet4">
    <w:name w:val="List Bullet 4"/>
    <w:basedOn w:val="List4"/>
    <w:rsid w:val="00904C1F"/>
    <w:pPr>
      <w:numPr>
        <w:numId w:val="3"/>
      </w:numPr>
      <w:tabs>
        <w:tab w:val="clear" w:pos="1361"/>
      </w:tabs>
    </w:pPr>
  </w:style>
  <w:style w:type="paragraph" w:styleId="ListBullet5">
    <w:name w:val="List Bullet 5"/>
    <w:basedOn w:val="List5"/>
    <w:rsid w:val="00904C1F"/>
    <w:pPr>
      <w:numPr>
        <w:numId w:val="4"/>
      </w:numPr>
    </w:pPr>
  </w:style>
  <w:style w:type="paragraph" w:styleId="ListContinue2">
    <w:name w:val="List Continue 2"/>
    <w:basedOn w:val="List2"/>
    <w:rsid w:val="00904C1F"/>
    <w:pPr>
      <w:ind w:firstLine="0"/>
    </w:pPr>
  </w:style>
  <w:style w:type="paragraph" w:styleId="ListContinue3">
    <w:name w:val="List Continue 3"/>
    <w:basedOn w:val="List3"/>
    <w:rsid w:val="00904C1F"/>
    <w:pPr>
      <w:ind w:left="1021" w:firstLine="0"/>
    </w:pPr>
  </w:style>
  <w:style w:type="paragraph" w:styleId="ListContinue4">
    <w:name w:val="List Continue 4"/>
    <w:basedOn w:val="List4"/>
    <w:rsid w:val="00904C1F"/>
    <w:pPr>
      <w:ind w:firstLine="0"/>
    </w:pPr>
  </w:style>
  <w:style w:type="paragraph" w:styleId="ListContinue5">
    <w:name w:val="List Continue 5"/>
    <w:basedOn w:val="List5"/>
    <w:rsid w:val="00904C1F"/>
    <w:pPr>
      <w:ind w:firstLine="0"/>
    </w:pPr>
  </w:style>
  <w:style w:type="paragraph" w:styleId="ListNumber3">
    <w:name w:val="List Number 3"/>
    <w:basedOn w:val="List3"/>
    <w:rsid w:val="00904C1F"/>
    <w:pPr>
      <w:numPr>
        <w:numId w:val="5"/>
      </w:numPr>
    </w:pPr>
  </w:style>
  <w:style w:type="paragraph" w:styleId="ListNumber4">
    <w:name w:val="List Number 4"/>
    <w:basedOn w:val="List4"/>
    <w:rsid w:val="00904C1F"/>
    <w:pPr>
      <w:numPr>
        <w:numId w:val="6"/>
      </w:numPr>
    </w:pPr>
  </w:style>
  <w:style w:type="paragraph" w:styleId="ListNumber5">
    <w:name w:val="List Number 5"/>
    <w:basedOn w:val="List5"/>
    <w:rsid w:val="00904C1F"/>
    <w:pPr>
      <w:numPr>
        <w:numId w:val="7"/>
      </w:numPr>
    </w:pPr>
  </w:style>
  <w:style w:type="paragraph" w:styleId="BlockText">
    <w:name w:val="Block Text"/>
    <w:basedOn w:val="Normal"/>
    <w:rsid w:val="00904C1F"/>
    <w:pPr>
      <w:spacing w:after="120"/>
      <w:ind w:left="1440" w:right="1440"/>
    </w:pPr>
  </w:style>
  <w:style w:type="character" w:customStyle="1" w:styleId="Subscript">
    <w:name w:val="Subscript"/>
    <w:basedOn w:val="DefaultParagraphFont"/>
    <w:rsid w:val="00904C1F"/>
    <w:rPr>
      <w:sz w:val="16"/>
      <w:vertAlign w:val="subscript"/>
    </w:rPr>
  </w:style>
  <w:style w:type="character" w:customStyle="1" w:styleId="Superscript">
    <w:name w:val="Superscript"/>
    <w:basedOn w:val="DefaultParagraphFont"/>
    <w:rsid w:val="00904C1F"/>
    <w:rPr>
      <w:sz w:val="16"/>
      <w:vertAlign w:val="superscript"/>
    </w:rPr>
  </w:style>
  <w:style w:type="character" w:customStyle="1" w:styleId="Symbols">
    <w:name w:val="Symbols"/>
    <w:basedOn w:val="DefaultParagraphFont"/>
    <w:rsid w:val="00904C1F"/>
    <w:rPr>
      <w:rFonts w:ascii="Symbol" w:hAnsi="Symbol"/>
    </w:rPr>
  </w:style>
  <w:style w:type="character" w:customStyle="1" w:styleId="MenuOptions">
    <w:name w:val="Menu Options"/>
    <w:basedOn w:val="DefaultParagraphFont"/>
    <w:rsid w:val="00904C1F"/>
    <w:rPr>
      <w:rFonts w:ascii="Arial Narrow" w:hAnsi="Arial Narrow"/>
      <w:smallCaps/>
    </w:rPr>
  </w:style>
  <w:style w:type="character" w:customStyle="1" w:styleId="Buttons">
    <w:name w:val="Buttons"/>
    <w:basedOn w:val="DefaultParagraphFont"/>
    <w:rsid w:val="00904C1F"/>
    <w:rPr>
      <w:b/>
    </w:rPr>
  </w:style>
  <w:style w:type="character" w:customStyle="1" w:styleId="Underlined">
    <w:name w:val="Underlined"/>
    <w:basedOn w:val="DefaultParagraphFont"/>
    <w:rsid w:val="00904C1F"/>
    <w:rPr>
      <w:u w:val="single"/>
    </w:rPr>
  </w:style>
  <w:style w:type="paragraph" w:customStyle="1" w:styleId="TableBodyTextRight">
    <w:name w:val="Table Body Text Right"/>
    <w:basedOn w:val="TableBodyText"/>
    <w:rsid w:val="00904C1F"/>
    <w:pPr>
      <w:widowControl w:val="0"/>
      <w:autoSpaceDE w:val="0"/>
      <w:autoSpaceDN w:val="0"/>
      <w:adjustRightInd w:val="0"/>
      <w:jc w:val="right"/>
    </w:pPr>
    <w:rPr>
      <w:rFonts w:cs="Arial"/>
      <w:szCs w:val="18"/>
    </w:rPr>
  </w:style>
  <w:style w:type="paragraph" w:customStyle="1" w:styleId="CopyrightText">
    <w:name w:val="Copyright Text"/>
    <w:basedOn w:val="BodyText"/>
    <w:rsid w:val="00904C1F"/>
    <w:rPr>
      <w:sz w:val="18"/>
    </w:rPr>
  </w:style>
  <w:style w:type="paragraph" w:customStyle="1" w:styleId="BodySmallRight">
    <w:name w:val="Body Small Right"/>
    <w:basedOn w:val="BodyTextRight"/>
    <w:rsid w:val="00904C1F"/>
    <w:rPr>
      <w:sz w:val="18"/>
      <w:szCs w:val="18"/>
    </w:rPr>
  </w:style>
  <w:style w:type="paragraph" w:customStyle="1" w:styleId="MarginEdition">
    <w:name w:val="Margin Edition"/>
    <w:basedOn w:val="MarginNote"/>
    <w:rsid w:val="00904C1F"/>
    <w:pPr>
      <w:spacing w:before="0" w:after="0"/>
    </w:pPr>
    <w:rPr>
      <w:rFonts w:ascii="Times New Roman" w:hAnsi="Times New Roman"/>
      <w:color w:val="999999"/>
    </w:rPr>
  </w:style>
  <w:style w:type="paragraph" w:customStyle="1" w:styleId="Spacer">
    <w:name w:val="Spacer"/>
    <w:basedOn w:val="Normal"/>
    <w:rsid w:val="00904C1F"/>
    <w:rPr>
      <w:sz w:val="2"/>
      <w:szCs w:val="2"/>
    </w:rPr>
  </w:style>
  <w:style w:type="character" w:customStyle="1" w:styleId="Small">
    <w:name w:val="Small"/>
    <w:basedOn w:val="DefaultParagraphFont"/>
    <w:rsid w:val="00904C1F"/>
    <w:rPr>
      <w:sz w:val="16"/>
    </w:rPr>
  </w:style>
  <w:style w:type="paragraph" w:customStyle="1" w:styleId="WideTable">
    <w:name w:val="Wide Table"/>
    <w:basedOn w:val="Normal"/>
    <w:rsid w:val="00904C1F"/>
    <w:pPr>
      <w:ind w:left="-1418"/>
    </w:pPr>
    <w:rPr>
      <w:sz w:val="2"/>
      <w:szCs w:val="2"/>
    </w:rPr>
  </w:style>
  <w:style w:type="character" w:styleId="PageNumber">
    <w:name w:val="page number"/>
    <w:basedOn w:val="DefaultParagraphFont"/>
    <w:rsid w:val="00904C1F"/>
  </w:style>
  <w:style w:type="paragraph" w:styleId="Quote">
    <w:name w:val="Quote"/>
    <w:basedOn w:val="Heading1"/>
    <w:link w:val="QuoteChar"/>
    <w:qFormat/>
    <w:rsid w:val="00904C1F"/>
    <w:rPr>
      <w:b w:val="0"/>
      <w:sz w:val="72"/>
      <w:szCs w:val="72"/>
      <w:lang w:val="en-NZ"/>
    </w:rPr>
  </w:style>
  <w:style w:type="character" w:customStyle="1" w:styleId="QuoteChar">
    <w:name w:val="Quote Char"/>
    <w:basedOn w:val="DefaultParagraphFont"/>
    <w:link w:val="Quote"/>
    <w:rsid w:val="00904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C1F"/>
    <w:pPr>
      <w:pageBreakBefore/>
    </w:pPr>
  </w:style>
  <w:style w:type="paragraph" w:customStyle="1" w:styleId="Border">
    <w:name w:val="Border"/>
    <w:basedOn w:val="Normal"/>
    <w:qFormat/>
    <w:rsid w:val="00904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C1F"/>
    <w:rPr>
      <w:b/>
      <w:bCs/>
      <w:i/>
      <w:iCs/>
      <w:color w:val="auto"/>
    </w:rPr>
  </w:style>
  <w:style w:type="paragraph" w:styleId="IntenseQuote">
    <w:name w:val="Intense Quote"/>
    <w:basedOn w:val="Normal"/>
    <w:next w:val="Normal"/>
    <w:link w:val="IntenseQuoteChar"/>
    <w:uiPriority w:val="30"/>
    <w:qFormat/>
    <w:rsid w:val="00904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C1F"/>
    <w:rPr>
      <w:smallCaps/>
      <w:color w:val="auto"/>
      <w:u w:val="single"/>
    </w:rPr>
  </w:style>
  <w:style w:type="character" w:styleId="IntenseReference">
    <w:name w:val="Intense Reference"/>
    <w:basedOn w:val="DefaultParagraphFont"/>
    <w:uiPriority w:val="32"/>
    <w:qFormat/>
    <w:rsid w:val="00904C1F"/>
    <w:rPr>
      <w:b/>
      <w:bCs/>
      <w:smallCaps/>
      <w:color w:val="auto"/>
      <w:spacing w:val="5"/>
      <w:u w:val="single"/>
    </w:rPr>
  </w:style>
  <w:style w:type="paragraph" w:customStyle="1" w:styleId="2ColumnHeading">
    <w:name w:val="2Column Heading"/>
    <w:basedOn w:val="BodyText"/>
    <w:qFormat/>
    <w:rsid w:val="00904C1F"/>
    <w:pPr>
      <w:spacing w:after="60"/>
      <w:ind w:left="-2268"/>
    </w:pPr>
    <w:rPr>
      <w:b/>
    </w:rPr>
  </w:style>
  <w:style w:type="paragraph" w:customStyle="1" w:styleId="Heading1TOC">
    <w:name w:val="Heading1 TOC"/>
    <w:basedOn w:val="Normal"/>
    <w:qFormat/>
    <w:rsid w:val="00904C1F"/>
    <w:pPr>
      <w:spacing w:before="240" w:after="120"/>
    </w:pPr>
    <w:rPr>
      <w:rFonts w:ascii="Times New Roman" w:hAnsi="Times New Roman"/>
      <w:b/>
      <w:sz w:val="32"/>
    </w:rPr>
  </w:style>
  <w:style w:type="paragraph" w:customStyle="1" w:styleId="Heading2TOC">
    <w:name w:val="Heading2 TOC"/>
    <w:basedOn w:val="Normal"/>
    <w:qFormat/>
    <w:rsid w:val="00904C1F"/>
    <w:pPr>
      <w:spacing w:before="240" w:after="60"/>
    </w:pPr>
    <w:rPr>
      <w:rFonts w:ascii="Times New Roman" w:hAnsi="Times New Roman"/>
      <w:b/>
      <w:sz w:val="28"/>
    </w:rPr>
  </w:style>
  <w:style w:type="character" w:customStyle="1" w:styleId="Underline">
    <w:name w:val="Underline"/>
    <w:basedOn w:val="DefaultParagraphFont"/>
    <w:qFormat/>
    <w:rsid w:val="00904C1F"/>
    <w:rPr>
      <w:u w:val="single"/>
    </w:rPr>
  </w:style>
  <w:style w:type="character" w:customStyle="1" w:styleId="BoldandItalics">
    <w:name w:val="Bold and Italics"/>
    <w:qFormat/>
    <w:rsid w:val="00904C1F"/>
    <w:rPr>
      <w:b/>
      <w:i/>
      <w:u w:val="none"/>
    </w:rPr>
  </w:style>
  <w:style w:type="paragraph" w:styleId="BalloonText">
    <w:name w:val="Balloon Text"/>
    <w:basedOn w:val="Normal"/>
    <w:link w:val="BalloonTextChar"/>
    <w:rsid w:val="00904C1F"/>
    <w:rPr>
      <w:rFonts w:ascii="Tahoma" w:hAnsi="Tahoma" w:cs="Tahoma"/>
      <w:sz w:val="16"/>
      <w:szCs w:val="16"/>
    </w:rPr>
  </w:style>
  <w:style w:type="character" w:customStyle="1" w:styleId="BalloonTextChar">
    <w:name w:val="Balloon Text Char"/>
    <w:basedOn w:val="DefaultParagraphFont"/>
    <w:link w:val="BalloonText"/>
    <w:rsid w:val="00904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C1F"/>
    <w:rPr>
      <w:b/>
      <w:color w:val="660033"/>
      <w:spacing w:val="0"/>
    </w:rPr>
  </w:style>
  <w:style w:type="paragraph" w:customStyle="1" w:styleId="Nameditemlist">
    <w:name w:val="Named item list"/>
    <w:basedOn w:val="BodyText"/>
    <w:qFormat/>
    <w:rsid w:val="00904C1F"/>
    <w:pPr>
      <w:tabs>
        <w:tab w:val="left" w:pos="2835"/>
      </w:tabs>
      <w:ind w:left="2835" w:hanging="2835"/>
    </w:pPr>
  </w:style>
  <w:style w:type="paragraph" w:customStyle="1" w:styleId="BodyTextnopadding">
    <w:name w:val="Body Text no padding"/>
    <w:basedOn w:val="BodyText"/>
    <w:qFormat/>
    <w:rsid w:val="00904C1F"/>
    <w:pPr>
      <w:spacing w:before="0" w:after="0"/>
    </w:pPr>
  </w:style>
  <w:style w:type="paragraph" w:customStyle="1" w:styleId="BodyTextBold">
    <w:name w:val="Body Text Bold"/>
    <w:basedOn w:val="BodyText"/>
    <w:qFormat/>
    <w:rsid w:val="00904C1F"/>
    <w:rPr>
      <w:b/>
    </w:rPr>
  </w:style>
  <w:style w:type="character" w:styleId="Hyperlink">
    <w:name w:val="Hyperlink"/>
    <w:basedOn w:val="DefaultParagraphFont"/>
    <w:uiPriority w:val="99"/>
    <w:unhideWhenUsed/>
    <w:rsid w:val="00483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5259</Characters>
  <Application>Microsoft Office Word</Application>
  <DocSecurity>0</DocSecurity>
  <Lines>164</Lines>
  <Paragraphs>94</Paragraphs>
  <ScaleCrop>false</ScaleCrop>
  <Company>Author-it Software Corporation Ltd.</Company>
  <LinksUpToDate>false</LinksUpToDate>
  <CharactersWithSpaces>5981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TLIX4028 Apply knowledge of logistics</dc:title>
  <dc:subject>Approved</dc:subject>
  <dc:creator>Industry Skills Australia</dc:creator>
  <cp:keywords>Release: 2</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