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402" w:rsidP="000B24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TLIX4024 Apply configuration management processes and procedures</w:t>
      </w:r>
      <w:r>
        <w:fldChar w:fldCharType="end"/>
      </w:r>
    </w:p>
    <w:p w:rsidR="000B2402" w:rsidP="000B2402">
      <w:pPr>
        <w:pStyle w:val="Version"/>
        <w:sectPr w:rsidSect="00B02A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2AD1" w:rsidP="00B02AD1">
      <w:pPr>
        <w:pStyle w:val="SuperHeading"/>
      </w:pPr>
      <w:r w:rsidRPr="00B02AD1">
        <w:t>TLIX4024 Apply configuration management processes and procedures</w:t>
      </w:r>
    </w:p>
    <w:p w:rsidR="00000000" w:rsidRPr="00B02AD1" w:rsidP="00B02AD1">
      <w:pPr>
        <w:pStyle w:val="Heading1"/>
      </w:pPr>
      <w:bookmarkStart w:id="1" w:name="O_754601"/>
      <w:bookmarkEnd w:id="1"/>
      <w:r w:rsidRPr="00B02AD1">
        <w:t>Modification History</w:t>
      </w:r>
    </w:p>
    <w:p w:rsidR="000B2402" w:rsidP="000B2402">
      <w:pPr>
        <w:pStyle w:val="BodyText"/>
      </w:pPr>
      <w:r w:rsidRPr="00B02AD1">
        <w:t>Release 1. This is the first release of this unit of competency in the TLI Transport and Logistics Training Package.</w:t>
      </w:r>
    </w:p>
    <w:p w:rsidR="00000000" w:rsidRPr="00B02AD1" w:rsidP="00B02AD1">
      <w:pPr>
        <w:pStyle w:val="Heading1"/>
      </w:pPr>
      <w:bookmarkStart w:id="2" w:name="O_754602"/>
      <w:bookmarkEnd w:id="2"/>
      <w:r w:rsidRPr="00B02AD1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B24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AD1" w:rsidP="00B02AD1">
            <w:pPr>
              <w:pStyle w:val="BodyText"/>
            </w:pPr>
            <w:r w:rsidRPr="00B02AD1">
              <w:t xml:space="preserve">This unit involves the skills and knowledge required to apply configuration management processes and procedures in accordance with relevant organisational policy and procedures. </w:t>
            </w:r>
          </w:p>
          <w:p w:rsidR="00000000" w:rsidRPr="00B02AD1" w:rsidP="00B02AD1">
            <w:pPr>
              <w:pStyle w:val="BodyText"/>
            </w:pPr>
            <w:r w:rsidRPr="00B02AD1">
              <w:t>The application of processes and procedures is specific to a variety of compo</w:t>
            </w:r>
            <w:r w:rsidRPr="00B02AD1">
              <w:t xml:space="preserve">nent processes including: configuration management administrative procedures, configuration management data collection and storage, and configuration management data retrieval. </w:t>
            </w:r>
          </w:p>
          <w:p w:rsidR="00000000" w:rsidRPr="00B02AD1" w:rsidP="00B02AD1">
            <w:pPr>
              <w:pStyle w:val="BodyText"/>
            </w:pPr>
            <w:r w:rsidRPr="00B02AD1">
              <w:t>This unit was developed for configuration management specialists working withi</w:t>
            </w:r>
            <w:r w:rsidRPr="00B02AD1">
              <w:t>n materiel logistics but is applicable to individuals in broader logistics roles.</w:t>
            </w:r>
          </w:p>
          <w:p w:rsidR="00000000" w:rsidRPr="00B02AD1" w:rsidP="00B02AD1">
            <w:pPr>
              <w:pStyle w:val="BodyText"/>
            </w:pPr>
            <w:r w:rsidRPr="00B02AD1">
              <w:t>Typically these individuals work independently or as part of a team under direct and/or indirect supervision, use discretion and judgement, and take responsibility for the qu</w:t>
            </w:r>
            <w:r w:rsidRPr="00B02AD1">
              <w:t xml:space="preserve">ality of their outputs. </w:t>
            </w:r>
          </w:p>
          <w:p w:rsidR="00000000" w:rsidRPr="00B02AD1" w:rsidP="00B02AD1">
            <w:pPr>
              <w:pStyle w:val="BodyText"/>
            </w:pPr>
            <w:r w:rsidRPr="00B02AD1">
              <w:t>No licensing, legislative or certification requirements apply to this unit at the time of publication.</w:t>
            </w:r>
          </w:p>
        </w:tc>
      </w:tr>
    </w:tbl>
    <w:p w:rsidR="000B2402" w:rsidP="00B02AD1">
      <w:pPr>
        <w:pStyle w:val="BodyText"/>
      </w:pPr>
    </w:p>
    <w:p w:rsidR="000B2402" w:rsidP="00B02AD1">
      <w:pPr>
        <w:pStyle w:val="BodyText"/>
      </w:pPr>
    </w:p>
    <w:p w:rsidR="00000000" w:rsidRPr="00B02AD1" w:rsidP="00B02AD1">
      <w:pPr>
        <w:pStyle w:val="Heading1"/>
      </w:pPr>
      <w:bookmarkStart w:id="3" w:name="O_754603"/>
      <w:bookmarkEnd w:id="3"/>
      <w:r w:rsidRPr="00B02AD1">
        <w:t>Pre-requisite Unit</w:t>
      </w:r>
    </w:p>
    <w:p w:rsidR="000B2402" w:rsidP="000B2402">
      <w:pPr>
        <w:pStyle w:val="BodyText"/>
      </w:pPr>
      <w:r w:rsidRPr="00B02AD1">
        <w:t>Not applicable.</w:t>
      </w:r>
    </w:p>
    <w:p w:rsidR="00000000" w:rsidRPr="00B02AD1" w:rsidP="00B02AD1">
      <w:pPr>
        <w:pStyle w:val="Heading1"/>
      </w:pPr>
      <w:bookmarkStart w:id="4" w:name="O_754604"/>
      <w:bookmarkEnd w:id="4"/>
      <w:r w:rsidRPr="00B02AD1">
        <w:t>Competency Field</w:t>
      </w:r>
    </w:p>
    <w:p w:rsidR="000B2402" w:rsidP="000B2402">
      <w:pPr>
        <w:pStyle w:val="BodyText"/>
      </w:pPr>
      <w:r w:rsidRPr="00B02AD1">
        <w:t>X – Logistics</w:t>
      </w:r>
    </w:p>
    <w:p w:rsidR="00000000" w:rsidRPr="00B02AD1" w:rsidP="00B02AD1">
      <w:pPr>
        <w:pStyle w:val="Heading1"/>
      </w:pPr>
      <w:bookmarkStart w:id="5" w:name="O_754605"/>
      <w:bookmarkEnd w:id="5"/>
      <w:r w:rsidRPr="00B02AD1">
        <w:t>Unit Sector</w:t>
      </w:r>
    </w:p>
    <w:p w:rsidR="000B2402" w:rsidP="000B2402">
      <w:pPr>
        <w:pStyle w:val="BodyText"/>
      </w:pPr>
      <w:r w:rsidRPr="00B02AD1">
        <w:t>Not applicable.</w:t>
      </w:r>
    </w:p>
    <w:p w:rsidR="00000000" w:rsidRPr="00B02AD1" w:rsidP="00B02AD1">
      <w:pPr>
        <w:pStyle w:val="Heading1"/>
      </w:pPr>
      <w:bookmarkStart w:id="6" w:name="O_754606"/>
      <w:bookmarkEnd w:id="6"/>
      <w:r w:rsidRPr="00B02AD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0B24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t>Performance criteria describe the performance needed to demonstrate achievement of the element.</w:t>
            </w:r>
          </w:p>
        </w:tc>
      </w:tr>
      <w:tr w:rsidTr="000B24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AD1" w:rsidP="00B02AD1">
            <w:pPr>
              <w:pStyle w:val="BodyText"/>
            </w:pPr>
            <w:r w:rsidRPr="00B02AD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rPr>
                <w:rStyle w:val="SpecialBold"/>
              </w:rPr>
              <w:t>Prepare to apply configuration ma</w:t>
            </w:r>
            <w:r w:rsidRPr="00B02AD1">
              <w:rPr>
                <w:rStyle w:val="SpecialBold"/>
              </w:rPr>
              <w:t>nagement processes and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t>Requirements for applying processes and procedures are identified from work requests/instructions and are confirmed</w:t>
            </w:r>
          </w:p>
        </w:tc>
      </w:tr>
      <w:tr w:rsidTr="000B24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t>Work health and safety (WHS)/occupational health and safety (OHS) requirements, including those contained in organisational procedures, are applied throughout the operation</w:t>
            </w:r>
          </w:p>
        </w:tc>
      </w:tr>
      <w:tr w:rsidTr="000B24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t>Required resources and equipment are identified, acquired and prepared in ac</w:t>
            </w:r>
            <w:r w:rsidRPr="00B02AD1">
              <w:t>cordance with organisational procedures</w:t>
            </w:r>
          </w:p>
        </w:tc>
      </w:tr>
      <w:tr w:rsidTr="000B24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t>Sources of information relevant to configuration management requirements are identified and relevant information is obtained in accordance with organisational policy and procedures</w:t>
            </w:r>
          </w:p>
        </w:tc>
      </w:tr>
      <w:tr w:rsidTr="000B24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AD1" w:rsidP="00B02AD1">
            <w:pPr>
              <w:pStyle w:val="BodyText"/>
            </w:pPr>
            <w:r w:rsidRPr="00B02AD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rPr>
                <w:rStyle w:val="SpecialBold"/>
              </w:rPr>
              <w:t>Apply configuration management processes and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t>Configuration management processes and procedures are implemented and monitored within resource constraints</w:t>
            </w:r>
          </w:p>
        </w:tc>
      </w:tr>
      <w:tr w:rsidTr="000B24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t>Configuration management processes and procedures are amended based on changing c</w:t>
            </w:r>
            <w:r w:rsidRPr="00B02AD1">
              <w:t>ircumstances in accordance with organisational policy and procedures</w:t>
            </w:r>
          </w:p>
        </w:tc>
      </w:tr>
      <w:tr w:rsidTr="000B24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AD1" w:rsidP="00B02AD1">
            <w:pPr>
              <w:pStyle w:val="BodyText"/>
            </w:pPr>
            <w:r w:rsidRPr="00B02AD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rPr>
                <w:rStyle w:val="SpecialBold"/>
              </w:rPr>
              <w:t>Monitor and report on configuration management processes and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t>Configuration management outcomes are reported to appropriate personnel in accordance with organisational po</w:t>
            </w:r>
            <w:r w:rsidRPr="00B02AD1">
              <w:t>licy and procedures</w:t>
            </w:r>
          </w:p>
        </w:tc>
      </w:tr>
      <w:tr w:rsidTr="000B24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t>Configuration management processes and procedures are monitored and reviewed to ensure systems and/or equipment capability is maintained, in accordance with organisational policy and procedures</w:t>
            </w:r>
          </w:p>
        </w:tc>
      </w:tr>
      <w:tr w:rsidTr="000B24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AD1" w:rsidP="00B02AD1">
            <w:pPr>
              <w:pStyle w:val="BodyText"/>
            </w:pPr>
            <w:r w:rsidRPr="00B02AD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rPr>
                <w:rStyle w:val="SpecialBold"/>
              </w:rPr>
              <w:t>Maintain records for configuration management processes and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t>Configuration management records are maintained in accordance with organisational policy and procedures</w:t>
            </w:r>
          </w:p>
        </w:tc>
      </w:tr>
      <w:tr w:rsidTr="000B24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AD1">
            <w:pPr>
              <w:pStyle w:val="BodyText"/>
              <w:rPr>
                <w:lang w:val="en-NZ"/>
              </w:rPr>
            </w:pPr>
            <w:r w:rsidRPr="00B02AD1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AD1" w:rsidP="00B02AD1">
            <w:pPr>
              <w:pStyle w:val="BodyText"/>
            </w:pPr>
            <w:r w:rsidRPr="00B02AD1">
              <w:t>Configuration management records are amended and documented in accorda</w:t>
            </w:r>
            <w:r w:rsidRPr="00B02AD1">
              <w:t>nce with organisational policy and procedures</w:t>
            </w:r>
          </w:p>
        </w:tc>
      </w:tr>
    </w:tbl>
    <w:p w:rsidR="000B2402" w:rsidP="00B02AD1">
      <w:pPr>
        <w:pStyle w:val="BodyText"/>
      </w:pPr>
    </w:p>
    <w:p w:rsidR="000B2402" w:rsidP="00B02AD1">
      <w:pPr>
        <w:pStyle w:val="BodyText"/>
      </w:pPr>
    </w:p>
    <w:p w:rsidR="00000000" w:rsidRPr="00B02AD1" w:rsidP="00B02AD1">
      <w:pPr>
        <w:pStyle w:val="Heading1"/>
      </w:pPr>
      <w:bookmarkStart w:id="7" w:name="O_754607"/>
      <w:bookmarkEnd w:id="7"/>
      <w:r w:rsidRPr="00B02AD1">
        <w:t>Foundation Skills</w:t>
      </w:r>
    </w:p>
    <w:p w:rsidR="000B2402" w:rsidP="000B2402">
      <w:pPr>
        <w:pStyle w:val="BodyText"/>
      </w:pPr>
      <w:r w:rsidRPr="00B02AD1">
        <w:t>Foundation skills essential to performance are explicit in the performance criteria of this unit of competency.</w:t>
      </w:r>
    </w:p>
    <w:p w:rsidR="00000000" w:rsidRPr="00B02AD1" w:rsidP="00B02AD1">
      <w:pPr>
        <w:pStyle w:val="Heading1"/>
      </w:pPr>
      <w:bookmarkStart w:id="8" w:name="O_754608"/>
      <w:bookmarkEnd w:id="8"/>
      <w:r w:rsidRPr="00B02AD1">
        <w:t>Range of Conditions</w:t>
      </w:r>
    </w:p>
    <w:p w:rsidR="00000000" w:rsidRPr="00B02AD1" w:rsidP="000B2402">
      <w:pPr>
        <w:pStyle w:val="BodyText"/>
      </w:pPr>
      <w:r w:rsidRPr="00B02AD1">
        <w:t>Range is restricted to essential operating conditions and any other variables essential to the work environment.</w:t>
      </w:r>
    </w:p>
    <w:p w:rsidR="000B2402" w:rsidP="000B2402">
      <w:pPr>
        <w:pStyle w:val="BodyText"/>
      </w:pPr>
      <w:r w:rsidRPr="00B02AD1">
        <w:t>Non-essential conditions can be found in the Companion Volume Implementation Guide.</w:t>
      </w:r>
    </w:p>
    <w:p w:rsidR="00000000" w:rsidRPr="00B02AD1" w:rsidP="00B02AD1">
      <w:pPr>
        <w:pStyle w:val="Heading1"/>
      </w:pPr>
      <w:bookmarkStart w:id="9" w:name="O_754609"/>
      <w:bookmarkEnd w:id="9"/>
      <w:r w:rsidRPr="00B02AD1">
        <w:t>Unit Mapping Information</w:t>
      </w:r>
    </w:p>
    <w:p w:rsidR="000B2402" w:rsidP="000B2402">
      <w:pPr>
        <w:pStyle w:val="BodyText"/>
      </w:pPr>
      <w:r w:rsidRPr="00B02AD1">
        <w:t>This unit replac</w:t>
      </w:r>
      <w:r w:rsidRPr="00B02AD1">
        <w:t>es and is equivalent to TLIX4024A Apply configuration management processes and procedures.</w:t>
      </w:r>
    </w:p>
    <w:p w:rsidR="00000000" w:rsidRPr="00B02AD1" w:rsidP="00B02AD1">
      <w:pPr>
        <w:pStyle w:val="Heading1"/>
      </w:pPr>
      <w:bookmarkStart w:id="10" w:name="O_754616"/>
      <w:bookmarkEnd w:id="10"/>
      <w:r w:rsidRPr="00B02AD1">
        <w:t>Links</w:t>
      </w:r>
    </w:p>
    <w:p w:rsidR="00000000" w:rsidRPr="00B02AD1" w:rsidP="000B2402">
      <w:pPr>
        <w:pStyle w:val="BodyText"/>
      </w:pPr>
      <w:r w:rsidRPr="00B02A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059B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02AD1" w:rsidP="00B02AD1"/>
    <w:sectPr w:rsidSect="00B02A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A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AD1" w:rsidRPr="000B2402" w:rsidP="000B24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A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402" w:rsidP="00B02A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2402" w:rsidP="00B02A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B2402" w:rsidP="00B02A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A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4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2AD1" w:rsidRPr="000B2402" w:rsidP="000B24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A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402" w:rsidRPr="002D2AF8" w:rsidP="00B02A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TLIX4024 Apply configuration management processes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0B2402" w:rsidP="00B02A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A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2A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A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A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A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A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A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A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A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A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A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AD1"/>
  </w:style>
  <w:style w:type="character" w:customStyle="1" w:styleId="Heading1Char">
    <w:name w:val="Heading 1 Char"/>
    <w:basedOn w:val="DefaultParagraphFont"/>
    <w:link w:val="Heading1"/>
    <w:rsid w:val="00B02A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2A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AD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2AD1"/>
    <w:rPr>
      <w:b/>
      <w:spacing w:val="0"/>
    </w:rPr>
  </w:style>
  <w:style w:type="paragraph" w:customStyle="1" w:styleId="SuperHeading">
    <w:name w:val="SuperHeading"/>
    <w:basedOn w:val="Normal"/>
    <w:rsid w:val="00B02A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2A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2A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A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A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2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2A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2A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A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A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A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A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2A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A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2A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A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A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2A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2A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2A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2A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A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A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2A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2A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A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2A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A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2A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A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A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A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A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2AD1"/>
    <w:rPr>
      <w:i/>
    </w:rPr>
  </w:style>
  <w:style w:type="paragraph" w:styleId="Caption">
    <w:name w:val="caption"/>
    <w:basedOn w:val="BodyText"/>
    <w:next w:val="Normal"/>
    <w:qFormat/>
    <w:rsid w:val="00B02A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A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A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AD1"/>
  </w:style>
  <w:style w:type="paragraph" w:styleId="TableofFigures">
    <w:name w:val="table of figures"/>
    <w:basedOn w:val="Normal"/>
    <w:next w:val="Normal"/>
    <w:semiHidden/>
    <w:rsid w:val="00B02A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A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2AD1"/>
    <w:rPr>
      <w:rFonts w:ascii="Wingdings" w:hAnsi="Wingdings"/>
    </w:rPr>
  </w:style>
  <w:style w:type="paragraph" w:customStyle="1" w:styleId="TableHeading">
    <w:name w:val="Table Heading"/>
    <w:basedOn w:val="HeadingBase"/>
    <w:rsid w:val="00B02A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2AD1"/>
    <w:rPr>
      <w:color w:val="0033CC"/>
      <w:u w:val="none"/>
    </w:rPr>
  </w:style>
  <w:style w:type="paragraph" w:customStyle="1" w:styleId="BodyTextRight">
    <w:name w:val="Body Text Right"/>
    <w:basedOn w:val="BodyText"/>
    <w:rsid w:val="00B02A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A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A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A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A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A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2AD1"/>
    <w:rPr>
      <w:sz w:val="32"/>
    </w:rPr>
  </w:style>
  <w:style w:type="paragraph" w:customStyle="1" w:styleId="HeadingProcedure">
    <w:name w:val="Heading Procedure"/>
    <w:basedOn w:val="HeadingBase"/>
    <w:next w:val="Normal"/>
    <w:rsid w:val="00B02A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2AD1"/>
    <w:pPr>
      <w:spacing w:before="60" w:after="60"/>
    </w:pPr>
  </w:style>
  <w:style w:type="paragraph" w:styleId="ListContinue">
    <w:name w:val="List Continue"/>
    <w:basedOn w:val="List"/>
    <w:rsid w:val="00B02AD1"/>
    <w:pPr>
      <w:ind w:firstLine="0"/>
    </w:pPr>
  </w:style>
  <w:style w:type="paragraph" w:customStyle="1" w:styleId="ListNote">
    <w:name w:val="List Note"/>
    <w:basedOn w:val="List"/>
    <w:rsid w:val="00B02A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A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A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AD1"/>
    <w:rPr>
      <w:rFonts w:ascii="Courier New" w:hAnsi="Courier New"/>
    </w:rPr>
  </w:style>
  <w:style w:type="paragraph" w:customStyle="1" w:styleId="NoteBullet">
    <w:name w:val="Note Bullet"/>
    <w:basedOn w:val="Note"/>
    <w:rsid w:val="00B02A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A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A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A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A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2A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A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2AD1"/>
    <w:rPr>
      <w:b/>
      <w:smallCaps/>
    </w:rPr>
  </w:style>
  <w:style w:type="paragraph" w:customStyle="1" w:styleId="TableListNumber">
    <w:name w:val="Table List Number"/>
    <w:basedOn w:val="ListNumber"/>
    <w:rsid w:val="00B02A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A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AD1"/>
    <w:pPr>
      <w:numPr>
        <w:numId w:val="7"/>
      </w:numPr>
    </w:pPr>
  </w:style>
  <w:style w:type="paragraph" w:customStyle="1" w:styleId="ListAlpha2">
    <w:name w:val="List Alpha 2"/>
    <w:basedOn w:val="List2"/>
    <w:rsid w:val="00B02AD1"/>
    <w:pPr>
      <w:numPr>
        <w:numId w:val="6"/>
      </w:numPr>
    </w:pPr>
  </w:style>
  <w:style w:type="paragraph" w:styleId="List2">
    <w:name w:val="List 2"/>
    <w:basedOn w:val="BodyText"/>
    <w:rsid w:val="00B02A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2A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A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A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A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A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2AD1"/>
    <w:pPr>
      <w:numPr>
        <w:numId w:val="2"/>
      </w:numPr>
    </w:pPr>
  </w:style>
  <w:style w:type="paragraph" w:styleId="ListContinue2">
    <w:name w:val="List Continue 2"/>
    <w:basedOn w:val="List2"/>
    <w:rsid w:val="00B02AD1"/>
    <w:pPr>
      <w:ind w:firstLine="0"/>
    </w:pPr>
  </w:style>
  <w:style w:type="paragraph" w:styleId="ListContinue3">
    <w:name w:val="List Continue 3"/>
    <w:basedOn w:val="List3"/>
    <w:rsid w:val="00B02AD1"/>
    <w:pPr>
      <w:ind w:left="1021" w:firstLine="0"/>
    </w:pPr>
  </w:style>
  <w:style w:type="paragraph" w:styleId="ListContinue4">
    <w:name w:val="List Continue 4"/>
    <w:basedOn w:val="List4"/>
    <w:rsid w:val="00B02AD1"/>
    <w:pPr>
      <w:ind w:firstLine="0"/>
    </w:pPr>
  </w:style>
  <w:style w:type="paragraph" w:styleId="ListContinue5">
    <w:name w:val="List Continue 5"/>
    <w:basedOn w:val="List5"/>
    <w:rsid w:val="00B02AD1"/>
    <w:pPr>
      <w:ind w:firstLine="0"/>
    </w:pPr>
  </w:style>
  <w:style w:type="paragraph" w:styleId="ListNumber3">
    <w:name w:val="List Number 3"/>
    <w:basedOn w:val="List3"/>
    <w:rsid w:val="00B02AD1"/>
    <w:pPr>
      <w:numPr>
        <w:numId w:val="3"/>
      </w:numPr>
    </w:pPr>
  </w:style>
  <w:style w:type="paragraph" w:styleId="ListNumber4">
    <w:name w:val="List Number 4"/>
    <w:basedOn w:val="List4"/>
    <w:rsid w:val="00B02AD1"/>
    <w:pPr>
      <w:numPr>
        <w:numId w:val="4"/>
      </w:numPr>
    </w:pPr>
  </w:style>
  <w:style w:type="paragraph" w:styleId="ListNumber5">
    <w:name w:val="List Number 5"/>
    <w:basedOn w:val="List5"/>
    <w:rsid w:val="00B02AD1"/>
    <w:pPr>
      <w:numPr>
        <w:numId w:val="5"/>
      </w:numPr>
    </w:pPr>
  </w:style>
  <w:style w:type="paragraph" w:styleId="BlockText">
    <w:name w:val="Block Text"/>
    <w:basedOn w:val="Normal"/>
    <w:rsid w:val="00B02A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A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AD1"/>
    <w:rPr>
      <w:sz w:val="16"/>
      <w:vertAlign w:val="superscript"/>
    </w:rPr>
  </w:style>
  <w:style w:type="character" w:customStyle="1" w:styleId="Symbols">
    <w:name w:val="Symbols"/>
    <w:basedOn w:val="DefaultParagraphFont"/>
    <w:rsid w:val="00B02AD1"/>
    <w:rPr>
      <w:rFonts w:ascii="Symbol" w:hAnsi="Symbol"/>
    </w:rPr>
  </w:style>
  <w:style w:type="character" w:customStyle="1" w:styleId="MenuOptions">
    <w:name w:val="Menu Options"/>
    <w:basedOn w:val="DefaultParagraphFont"/>
    <w:rsid w:val="00B02A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AD1"/>
    <w:rPr>
      <w:b/>
    </w:rPr>
  </w:style>
  <w:style w:type="character" w:customStyle="1" w:styleId="Underlined">
    <w:name w:val="Underlined"/>
    <w:basedOn w:val="DefaultParagraphFont"/>
    <w:rsid w:val="00B02AD1"/>
    <w:rPr>
      <w:u w:val="single"/>
    </w:rPr>
  </w:style>
  <w:style w:type="paragraph" w:customStyle="1" w:styleId="TableBodyTextRight">
    <w:name w:val="Table Body Text Right"/>
    <w:basedOn w:val="TableBodyText"/>
    <w:rsid w:val="00B02A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AD1"/>
    <w:rPr>
      <w:sz w:val="18"/>
    </w:rPr>
  </w:style>
  <w:style w:type="paragraph" w:customStyle="1" w:styleId="BodySmallRight">
    <w:name w:val="Body Small Right"/>
    <w:basedOn w:val="BodyTextRight"/>
    <w:rsid w:val="00B02AD1"/>
    <w:rPr>
      <w:sz w:val="18"/>
      <w:szCs w:val="18"/>
    </w:rPr>
  </w:style>
  <w:style w:type="paragraph" w:customStyle="1" w:styleId="MarginEdition">
    <w:name w:val="Margin Edition"/>
    <w:basedOn w:val="MarginNote"/>
    <w:rsid w:val="00B02A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AD1"/>
    <w:rPr>
      <w:sz w:val="2"/>
      <w:szCs w:val="2"/>
    </w:rPr>
  </w:style>
  <w:style w:type="character" w:customStyle="1" w:styleId="Small">
    <w:name w:val="Small"/>
    <w:basedOn w:val="DefaultParagraphFont"/>
    <w:rsid w:val="00B02AD1"/>
    <w:rPr>
      <w:sz w:val="16"/>
    </w:rPr>
  </w:style>
  <w:style w:type="paragraph" w:customStyle="1" w:styleId="WideTable">
    <w:name w:val="Wide Table"/>
    <w:basedOn w:val="Normal"/>
    <w:rsid w:val="00B02A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AD1"/>
  </w:style>
  <w:style w:type="paragraph" w:styleId="Quote">
    <w:name w:val="Quote"/>
    <w:basedOn w:val="Heading1"/>
    <w:link w:val="QuoteChar"/>
    <w:qFormat/>
    <w:rsid w:val="00B02A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A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AD1"/>
    <w:pPr>
      <w:pageBreakBefore/>
    </w:pPr>
  </w:style>
  <w:style w:type="paragraph" w:customStyle="1" w:styleId="Border">
    <w:name w:val="Border"/>
    <w:basedOn w:val="Normal"/>
    <w:qFormat/>
    <w:rsid w:val="00B02A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A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A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A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2A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A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A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A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A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AD1"/>
    <w:rPr>
      <w:u w:val="single"/>
    </w:rPr>
  </w:style>
  <w:style w:type="character" w:customStyle="1" w:styleId="BoldandItalics">
    <w:name w:val="Bold and Italics"/>
    <w:qFormat/>
    <w:rsid w:val="00B02AD1"/>
    <w:rPr>
      <w:b/>
      <w:i/>
      <w:u w:val="none"/>
    </w:rPr>
  </w:style>
  <w:style w:type="paragraph" w:styleId="BalloonText">
    <w:name w:val="Balloon Text"/>
    <w:basedOn w:val="Normal"/>
    <w:link w:val="BalloonTextChar"/>
    <w:rsid w:val="00B02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A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2A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A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2A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2A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2AD1"/>
    <w:pPr>
      <w:spacing w:before="0" w:after="0"/>
    </w:pPr>
  </w:style>
  <w:style w:type="paragraph" w:customStyle="1" w:styleId="BodyTextBold">
    <w:name w:val="Body Text Bold"/>
    <w:basedOn w:val="BodyText"/>
    <w:qFormat/>
    <w:rsid w:val="00B02AD1"/>
    <w:rPr>
      <w:b/>
    </w:rPr>
  </w:style>
  <w:style w:type="character" w:styleId="Hyperlink">
    <w:name w:val="Hyperlink"/>
    <w:basedOn w:val="DefaultParagraphFont"/>
    <w:uiPriority w:val="99"/>
    <w:unhideWhenUsed/>
    <w:rsid w:val="000B24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3481</Characters>
  <Application>Microsoft Office Word</Application>
  <DocSecurity>0</DocSecurity>
  <Lines>133</Lines>
  <Paragraphs>68</Paragraphs>
  <ScaleCrop>false</ScaleCrop>
  <Company>Author-it Software Corporation Ltd.</Company>
  <LinksUpToDate>false</LinksUpToDate>
  <CharactersWithSpaces>3915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TLIX4024 Apply configuration management processes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2022-10-25T06:03:00Z</dcterms:created>
  <dcterms:modified xsi:type="dcterms:W3CDTF">2022-10-25T06:03:00Z</dcterms:modified>
</cp:coreProperties>
</file>