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B007E" w:rsidP="00AB0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TLIX4023 Conduct configuration management activities</w:t>
      </w:r>
      <w:r>
        <w:fldChar w:fldCharType="end"/>
      </w:r>
    </w:p>
    <w:p w:rsidR="00AB007E" w:rsidP="00AB007E">
      <w:pPr>
        <w:pStyle w:val="Version"/>
        <w:sectPr w:rsidSect="007831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31EC" w:rsidP="007831EC">
      <w:pPr>
        <w:pStyle w:val="SuperHeading"/>
      </w:pPr>
      <w:r w:rsidRPr="007831EC">
        <w:t>TLIX4023 Conduct configuration management activities</w:t>
      </w:r>
    </w:p>
    <w:p w:rsidR="00000000" w:rsidRPr="007831EC" w:rsidP="007831EC">
      <w:pPr>
        <w:pStyle w:val="Heading1"/>
      </w:pPr>
      <w:bookmarkStart w:id="1" w:name="O_754582"/>
      <w:bookmarkEnd w:id="1"/>
      <w:r w:rsidRPr="007831EC">
        <w:t>Modification History</w:t>
      </w:r>
    </w:p>
    <w:p w:rsidR="00AB007E" w:rsidP="00AB007E">
      <w:pPr>
        <w:pStyle w:val="BodyText"/>
      </w:pPr>
      <w:r w:rsidRPr="007831EC">
        <w:t>Release 1. This is the first release of this unit of competency in the TLI Transport and Logistics Training Package.</w:t>
      </w:r>
    </w:p>
    <w:p w:rsidR="00000000" w:rsidRPr="007831EC" w:rsidP="007831EC">
      <w:pPr>
        <w:pStyle w:val="Heading1"/>
      </w:pPr>
      <w:bookmarkStart w:id="2" w:name="O_754583"/>
      <w:bookmarkEnd w:id="2"/>
      <w:r w:rsidRPr="007831EC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t>This unit involves the skills and knowledge required to conduct configuration ma</w:t>
            </w:r>
            <w:r w:rsidRPr="007831EC">
              <w:t xml:space="preserve">nagement activities in accordance with relevant organisational policy and procedures. </w:t>
            </w:r>
          </w:p>
          <w:p w:rsidR="00000000" w:rsidRPr="007831EC" w:rsidP="007831EC">
            <w:pPr>
              <w:pStyle w:val="BodyText"/>
            </w:pPr>
            <w:r w:rsidRPr="007831EC">
              <w:t>It includes the requirement to conduct a range of processes including capturing, recording, recovering and analysing data; maintaining associated workplace networks; and</w:t>
            </w:r>
            <w:r w:rsidRPr="007831EC">
              <w:t xml:space="preserve"> stakeholder requirements. </w:t>
            </w:r>
          </w:p>
          <w:p w:rsidR="00000000" w:rsidRPr="007831EC" w:rsidP="007831EC">
            <w:pPr>
              <w:pStyle w:val="BodyText"/>
            </w:pPr>
            <w:r w:rsidRPr="007831EC">
              <w:t>This unit was developed for configuration management specialists working within materiel logistics but is applicable to individuals in broader logistics roles.</w:t>
            </w:r>
          </w:p>
          <w:p w:rsidR="00000000" w:rsidRPr="007831EC" w:rsidP="007831EC">
            <w:pPr>
              <w:pStyle w:val="BodyText"/>
            </w:pPr>
            <w:r w:rsidRPr="007831EC">
              <w:t xml:space="preserve">Typically these individuals work independently or as part of a team </w:t>
            </w:r>
            <w:r w:rsidRPr="007831EC">
              <w:t xml:space="preserve">under direct and/or indirect supervision, use discretion and judgement, and take responsibility for the quality of their outputs. </w:t>
            </w:r>
          </w:p>
          <w:p w:rsidR="00000000" w:rsidRPr="007831EC" w:rsidP="007831EC">
            <w:pPr>
              <w:pStyle w:val="BodyText"/>
            </w:pPr>
            <w:r w:rsidRPr="007831EC">
              <w:t>No licensing, legislative or certification requirements apply to this unit at the time of publication.</w:t>
            </w:r>
          </w:p>
        </w:tc>
      </w:tr>
    </w:tbl>
    <w:p w:rsidR="00AB007E" w:rsidP="007831EC">
      <w:pPr>
        <w:pStyle w:val="BodyText"/>
      </w:pPr>
    </w:p>
    <w:p w:rsidR="00AB007E" w:rsidP="007831EC">
      <w:pPr>
        <w:pStyle w:val="BodyText"/>
      </w:pPr>
    </w:p>
    <w:p w:rsidR="00000000" w:rsidRPr="007831EC" w:rsidP="007831EC">
      <w:pPr>
        <w:pStyle w:val="Heading1"/>
      </w:pPr>
      <w:bookmarkStart w:id="3" w:name="O_754584"/>
      <w:bookmarkEnd w:id="3"/>
      <w:r w:rsidRPr="007831EC">
        <w:t>Pr</w:t>
      </w:r>
      <w:r w:rsidRPr="007831EC">
        <w:t>e-requisite Unit</w:t>
      </w:r>
    </w:p>
    <w:p w:rsidR="00AB007E" w:rsidP="00AB007E">
      <w:pPr>
        <w:pStyle w:val="BodyText"/>
      </w:pPr>
      <w:r w:rsidRPr="007831EC">
        <w:t>Not applicable.</w:t>
      </w:r>
    </w:p>
    <w:p w:rsidR="00000000" w:rsidRPr="007831EC" w:rsidP="007831EC">
      <w:pPr>
        <w:pStyle w:val="Heading1"/>
      </w:pPr>
      <w:bookmarkStart w:id="4" w:name="O_754585"/>
      <w:bookmarkEnd w:id="4"/>
      <w:r w:rsidRPr="007831EC">
        <w:t>Competency Field</w:t>
      </w:r>
    </w:p>
    <w:p w:rsidR="00AB007E" w:rsidP="00AB007E">
      <w:pPr>
        <w:pStyle w:val="BodyText"/>
      </w:pPr>
      <w:r w:rsidRPr="007831EC">
        <w:t>X – Logistics</w:t>
      </w:r>
    </w:p>
    <w:p w:rsidR="00000000" w:rsidRPr="007831EC" w:rsidP="007831EC">
      <w:pPr>
        <w:pStyle w:val="Heading1"/>
      </w:pPr>
      <w:bookmarkStart w:id="5" w:name="O_754586"/>
      <w:bookmarkEnd w:id="5"/>
      <w:r w:rsidRPr="007831EC">
        <w:t>Unit Sector</w:t>
      </w:r>
    </w:p>
    <w:p w:rsidR="00AB007E" w:rsidP="00AB007E">
      <w:pPr>
        <w:pStyle w:val="BodyText"/>
      </w:pPr>
      <w:r w:rsidRPr="007831EC">
        <w:t>Not applicable.</w:t>
      </w:r>
    </w:p>
    <w:p w:rsidR="00000000" w:rsidRPr="007831EC" w:rsidP="007831EC">
      <w:pPr>
        <w:pStyle w:val="Heading1"/>
      </w:pPr>
      <w:bookmarkStart w:id="6" w:name="O_754587"/>
      <w:bookmarkEnd w:id="6"/>
      <w:r w:rsidRPr="007831E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Performance criteria describe the performance needed to demonstrate achievement of the element.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rPr>
                <w:rStyle w:val="SpecialBold"/>
              </w:rPr>
              <w:t>Prepare to conduct configuration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Stakeholders are identified and consulted on materiel, and materiel systems needs and capabilitie</w:t>
            </w:r>
            <w:r w:rsidRPr="007831EC">
              <w:t>s in accordance with organisational policy and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Effective relationships are developed with stakeholders through consultation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Legislation and organisational policy and procedures that may impact on configuration management activities are identified and analysed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Sources of information relevant to configuration management activities are identified and relevant information is</w:t>
            </w:r>
            <w:r w:rsidRPr="007831EC">
              <w:t xml:space="preserve"> obtained in accordance with organisational policy and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Personnel involved in configuration management activities are briefed in accordance with standard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rPr>
                <w:rStyle w:val="SpecialBold"/>
              </w:rPr>
              <w:t>Conduct configuration management activities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methods and techniques appropriate to area are employed in accordance with plans, schedules and standard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activities are conducted and concluded within resource constraints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activities are implemented, monitored and amended based on changing circumstances in accordance with methodologies and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Resources are allocated to configuration management activities in accordance with configuratio</w:t>
            </w:r>
            <w:r w:rsidRPr="007831EC">
              <w:t>n management plan and resource availability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rPr>
                <w:rStyle w:val="SpecialBold"/>
              </w:rPr>
              <w:t>Report on configuration management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performance is reported to all stakeholders in a transparent manner in accordance with compliance requirements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reports are regularly reviewed to ensure systems and/or equipment capability is maintained throughout its life cycle, in accordance with organisational policy and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rPr>
                <w:rStyle w:val="SpecialBold"/>
              </w:rPr>
              <w:t>Maintain configuration management records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Configuration management records are completed in accordance with relevant policy and procedures</w:t>
            </w:r>
          </w:p>
        </w:tc>
      </w:tr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31EC">
            <w:pPr>
              <w:pStyle w:val="BodyText"/>
              <w:rPr>
                <w:lang w:val="en-NZ"/>
              </w:rPr>
            </w:pPr>
            <w:r w:rsidRPr="007831EC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t>Configuration management records are amended and documented in accordance with organisational policy and procedures</w:t>
            </w:r>
          </w:p>
        </w:tc>
      </w:tr>
    </w:tbl>
    <w:p w:rsidR="00AB007E" w:rsidP="007831EC">
      <w:pPr>
        <w:pStyle w:val="BodyText"/>
      </w:pPr>
    </w:p>
    <w:p w:rsidR="00AB007E" w:rsidP="007831EC">
      <w:pPr>
        <w:pStyle w:val="BodyText"/>
      </w:pPr>
    </w:p>
    <w:p w:rsidR="00000000" w:rsidRPr="007831EC" w:rsidP="007831EC">
      <w:pPr>
        <w:pStyle w:val="Heading1"/>
      </w:pPr>
      <w:bookmarkStart w:id="7" w:name="O_754588"/>
      <w:bookmarkEnd w:id="7"/>
      <w:r w:rsidRPr="007831EC">
        <w:t>Foundation Skill</w:t>
      </w:r>
      <w:r w:rsidRPr="007831EC">
        <w:t>s</w:t>
      </w:r>
    </w:p>
    <w:p w:rsidR="00AB007E" w:rsidP="00AB007E">
      <w:pPr>
        <w:pStyle w:val="BodyText"/>
      </w:pPr>
      <w:r w:rsidRPr="007831EC">
        <w:t>Foundation skills essential to performance are explicit in the performance criteria of this unit of competency.</w:t>
      </w:r>
    </w:p>
    <w:p w:rsidR="00000000" w:rsidRPr="007831EC" w:rsidP="007831EC">
      <w:pPr>
        <w:pStyle w:val="Heading1"/>
      </w:pPr>
      <w:bookmarkStart w:id="8" w:name="O_754589"/>
      <w:bookmarkEnd w:id="8"/>
      <w:r w:rsidRPr="007831E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AB0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31EC" w:rsidP="007831EC">
            <w:pPr>
              <w:pStyle w:val="BodyText"/>
            </w:pPr>
            <w:r w:rsidRPr="007831EC">
              <w:t>Range is restricted to essential operating conditions and any other variables essential to the work environment.</w:t>
            </w:r>
          </w:p>
          <w:p w:rsidR="00000000" w:rsidRPr="007831EC" w:rsidP="007831EC">
            <w:pPr>
              <w:pStyle w:val="BodyText"/>
            </w:pPr>
            <w:r w:rsidRPr="007831EC">
              <w:t>Non-essential conditions can be found in the Companion Volume Implementation Guide.</w:t>
            </w:r>
          </w:p>
        </w:tc>
      </w:tr>
    </w:tbl>
    <w:p w:rsidR="00AB007E" w:rsidP="007831EC">
      <w:pPr>
        <w:pStyle w:val="BodyText"/>
      </w:pPr>
    </w:p>
    <w:p w:rsidR="00AB007E" w:rsidP="007831EC">
      <w:pPr>
        <w:pStyle w:val="BodyText"/>
      </w:pPr>
    </w:p>
    <w:p w:rsidR="00000000" w:rsidRPr="007831EC" w:rsidP="007831EC">
      <w:pPr>
        <w:pStyle w:val="Heading1"/>
      </w:pPr>
      <w:bookmarkStart w:id="9" w:name="O_754590"/>
      <w:bookmarkEnd w:id="9"/>
      <w:r w:rsidRPr="007831EC">
        <w:t>Unit Mapping Information</w:t>
      </w:r>
    </w:p>
    <w:p w:rsidR="00AB007E" w:rsidP="00AB007E">
      <w:pPr>
        <w:pStyle w:val="BodyText"/>
      </w:pPr>
      <w:r w:rsidRPr="007831EC">
        <w:t>This unit repl</w:t>
      </w:r>
      <w:r w:rsidRPr="007831EC">
        <w:t>aces and is equivalent to TLIX4023A Conduct configuration management activities.</w:t>
      </w:r>
    </w:p>
    <w:p w:rsidR="00000000" w:rsidRPr="007831EC" w:rsidP="007831EC">
      <w:pPr>
        <w:pStyle w:val="Heading1"/>
      </w:pPr>
      <w:bookmarkStart w:id="10" w:name="O_754597"/>
      <w:bookmarkEnd w:id="10"/>
      <w:r w:rsidRPr="007831EC">
        <w:t>Links</w:t>
      </w:r>
    </w:p>
    <w:p w:rsidR="00000000" w:rsidRPr="007831EC" w:rsidP="00AB007E">
      <w:pPr>
        <w:pStyle w:val="BodyText"/>
      </w:pPr>
      <w:r w:rsidRPr="007831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E68F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831EC" w:rsidP="007831EC"/>
    <w:sectPr w:rsidSect="007831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EC" w:rsidRPr="00AB007E" w:rsidP="00AB0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7E" w:rsidP="007831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B007E" w:rsidP="007831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B007E" w:rsidP="007831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31EC" w:rsidRPr="00AB007E" w:rsidP="00AB00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1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07E" w:rsidRPr="002D2AF8" w:rsidP="007831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TLIX4023 Conduct configuration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AB007E" w:rsidP="007831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31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31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31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31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31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31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31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31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31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31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31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31EC"/>
  </w:style>
  <w:style w:type="character" w:customStyle="1" w:styleId="Heading1Char">
    <w:name w:val="Heading 1 Char"/>
    <w:basedOn w:val="DefaultParagraphFont"/>
    <w:link w:val="Heading1"/>
    <w:rsid w:val="007831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31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31E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31EC"/>
    <w:rPr>
      <w:b/>
      <w:spacing w:val="0"/>
    </w:rPr>
  </w:style>
  <w:style w:type="paragraph" w:customStyle="1" w:styleId="SuperHeading">
    <w:name w:val="SuperHeading"/>
    <w:basedOn w:val="Normal"/>
    <w:rsid w:val="007831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31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31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31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31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3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31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3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31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31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31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31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31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31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31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31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31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31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31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31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31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31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31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31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31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31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31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31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31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31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31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31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31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31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31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31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31EC"/>
    <w:rPr>
      <w:i/>
    </w:rPr>
  </w:style>
  <w:style w:type="paragraph" w:styleId="Caption">
    <w:name w:val="caption"/>
    <w:basedOn w:val="BodyText"/>
    <w:next w:val="Normal"/>
    <w:qFormat/>
    <w:rsid w:val="007831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31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31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31EC"/>
  </w:style>
  <w:style w:type="paragraph" w:styleId="TableofFigures">
    <w:name w:val="table of figures"/>
    <w:basedOn w:val="Normal"/>
    <w:next w:val="Normal"/>
    <w:semiHidden/>
    <w:rsid w:val="007831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31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31EC"/>
    <w:rPr>
      <w:rFonts w:ascii="Wingdings" w:hAnsi="Wingdings"/>
    </w:rPr>
  </w:style>
  <w:style w:type="paragraph" w:customStyle="1" w:styleId="TableHeading">
    <w:name w:val="Table Heading"/>
    <w:basedOn w:val="HeadingBase"/>
    <w:rsid w:val="007831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31EC"/>
    <w:rPr>
      <w:color w:val="0033CC"/>
      <w:u w:val="none"/>
    </w:rPr>
  </w:style>
  <w:style w:type="paragraph" w:customStyle="1" w:styleId="BodyTextRight">
    <w:name w:val="Body Text Right"/>
    <w:basedOn w:val="BodyText"/>
    <w:rsid w:val="007831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31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31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31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31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31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31EC"/>
    <w:rPr>
      <w:sz w:val="32"/>
    </w:rPr>
  </w:style>
  <w:style w:type="paragraph" w:customStyle="1" w:styleId="HeadingProcedure">
    <w:name w:val="Heading Procedure"/>
    <w:basedOn w:val="HeadingBase"/>
    <w:next w:val="Normal"/>
    <w:rsid w:val="007831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31EC"/>
    <w:pPr>
      <w:spacing w:before="60" w:after="60"/>
    </w:pPr>
  </w:style>
  <w:style w:type="paragraph" w:styleId="ListContinue">
    <w:name w:val="List Continue"/>
    <w:basedOn w:val="List"/>
    <w:rsid w:val="007831EC"/>
    <w:pPr>
      <w:ind w:firstLine="0"/>
    </w:pPr>
  </w:style>
  <w:style w:type="paragraph" w:customStyle="1" w:styleId="ListNote">
    <w:name w:val="List Note"/>
    <w:basedOn w:val="List"/>
    <w:rsid w:val="007831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31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31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31EC"/>
    <w:rPr>
      <w:rFonts w:ascii="Courier New" w:hAnsi="Courier New"/>
    </w:rPr>
  </w:style>
  <w:style w:type="paragraph" w:customStyle="1" w:styleId="NoteBullet">
    <w:name w:val="Note Bullet"/>
    <w:basedOn w:val="Note"/>
    <w:rsid w:val="007831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31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31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31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31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31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31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31EC"/>
    <w:rPr>
      <w:b/>
      <w:smallCaps/>
    </w:rPr>
  </w:style>
  <w:style w:type="paragraph" w:customStyle="1" w:styleId="TableListNumber">
    <w:name w:val="Table List Number"/>
    <w:basedOn w:val="ListNumber"/>
    <w:rsid w:val="007831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31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31EC"/>
    <w:pPr>
      <w:numPr>
        <w:numId w:val="7"/>
      </w:numPr>
    </w:pPr>
  </w:style>
  <w:style w:type="paragraph" w:customStyle="1" w:styleId="ListAlpha2">
    <w:name w:val="List Alpha 2"/>
    <w:basedOn w:val="List2"/>
    <w:rsid w:val="007831EC"/>
    <w:pPr>
      <w:numPr>
        <w:numId w:val="6"/>
      </w:numPr>
    </w:pPr>
  </w:style>
  <w:style w:type="paragraph" w:styleId="List2">
    <w:name w:val="List 2"/>
    <w:basedOn w:val="BodyText"/>
    <w:rsid w:val="007831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31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31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31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31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31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31EC"/>
    <w:pPr>
      <w:numPr>
        <w:numId w:val="2"/>
      </w:numPr>
    </w:pPr>
  </w:style>
  <w:style w:type="paragraph" w:styleId="ListContinue2">
    <w:name w:val="List Continue 2"/>
    <w:basedOn w:val="List2"/>
    <w:rsid w:val="007831EC"/>
    <w:pPr>
      <w:ind w:firstLine="0"/>
    </w:pPr>
  </w:style>
  <w:style w:type="paragraph" w:styleId="ListContinue3">
    <w:name w:val="List Continue 3"/>
    <w:basedOn w:val="List3"/>
    <w:rsid w:val="007831EC"/>
    <w:pPr>
      <w:ind w:left="1021" w:firstLine="0"/>
    </w:pPr>
  </w:style>
  <w:style w:type="paragraph" w:styleId="ListContinue4">
    <w:name w:val="List Continue 4"/>
    <w:basedOn w:val="List4"/>
    <w:rsid w:val="007831EC"/>
    <w:pPr>
      <w:ind w:firstLine="0"/>
    </w:pPr>
  </w:style>
  <w:style w:type="paragraph" w:styleId="ListContinue5">
    <w:name w:val="List Continue 5"/>
    <w:basedOn w:val="List5"/>
    <w:rsid w:val="007831EC"/>
    <w:pPr>
      <w:ind w:firstLine="0"/>
    </w:pPr>
  </w:style>
  <w:style w:type="paragraph" w:styleId="ListNumber3">
    <w:name w:val="List Number 3"/>
    <w:basedOn w:val="List3"/>
    <w:rsid w:val="007831EC"/>
    <w:pPr>
      <w:numPr>
        <w:numId w:val="3"/>
      </w:numPr>
    </w:pPr>
  </w:style>
  <w:style w:type="paragraph" w:styleId="ListNumber4">
    <w:name w:val="List Number 4"/>
    <w:basedOn w:val="List4"/>
    <w:rsid w:val="007831EC"/>
    <w:pPr>
      <w:numPr>
        <w:numId w:val="4"/>
      </w:numPr>
    </w:pPr>
  </w:style>
  <w:style w:type="paragraph" w:styleId="ListNumber5">
    <w:name w:val="List Number 5"/>
    <w:basedOn w:val="List5"/>
    <w:rsid w:val="007831EC"/>
    <w:pPr>
      <w:numPr>
        <w:numId w:val="5"/>
      </w:numPr>
    </w:pPr>
  </w:style>
  <w:style w:type="paragraph" w:styleId="BlockText">
    <w:name w:val="Block Text"/>
    <w:basedOn w:val="Normal"/>
    <w:rsid w:val="007831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31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31EC"/>
    <w:rPr>
      <w:sz w:val="16"/>
      <w:vertAlign w:val="superscript"/>
    </w:rPr>
  </w:style>
  <w:style w:type="character" w:customStyle="1" w:styleId="Symbols">
    <w:name w:val="Symbols"/>
    <w:basedOn w:val="DefaultParagraphFont"/>
    <w:rsid w:val="007831EC"/>
    <w:rPr>
      <w:rFonts w:ascii="Symbol" w:hAnsi="Symbol"/>
    </w:rPr>
  </w:style>
  <w:style w:type="character" w:customStyle="1" w:styleId="MenuOptions">
    <w:name w:val="Menu Options"/>
    <w:basedOn w:val="DefaultParagraphFont"/>
    <w:rsid w:val="007831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31EC"/>
    <w:rPr>
      <w:b/>
    </w:rPr>
  </w:style>
  <w:style w:type="character" w:customStyle="1" w:styleId="Underlined">
    <w:name w:val="Underlined"/>
    <w:basedOn w:val="DefaultParagraphFont"/>
    <w:rsid w:val="007831EC"/>
    <w:rPr>
      <w:u w:val="single"/>
    </w:rPr>
  </w:style>
  <w:style w:type="paragraph" w:customStyle="1" w:styleId="TableBodyTextRight">
    <w:name w:val="Table Body Text Right"/>
    <w:basedOn w:val="TableBodyText"/>
    <w:rsid w:val="007831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31EC"/>
    <w:rPr>
      <w:sz w:val="18"/>
    </w:rPr>
  </w:style>
  <w:style w:type="paragraph" w:customStyle="1" w:styleId="BodySmallRight">
    <w:name w:val="Body Small Right"/>
    <w:basedOn w:val="BodyTextRight"/>
    <w:rsid w:val="007831EC"/>
    <w:rPr>
      <w:sz w:val="18"/>
      <w:szCs w:val="18"/>
    </w:rPr>
  </w:style>
  <w:style w:type="paragraph" w:customStyle="1" w:styleId="MarginEdition">
    <w:name w:val="Margin Edition"/>
    <w:basedOn w:val="MarginNote"/>
    <w:rsid w:val="007831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31EC"/>
    <w:rPr>
      <w:sz w:val="2"/>
      <w:szCs w:val="2"/>
    </w:rPr>
  </w:style>
  <w:style w:type="character" w:customStyle="1" w:styleId="Small">
    <w:name w:val="Small"/>
    <w:basedOn w:val="DefaultParagraphFont"/>
    <w:rsid w:val="007831EC"/>
    <w:rPr>
      <w:sz w:val="16"/>
    </w:rPr>
  </w:style>
  <w:style w:type="paragraph" w:customStyle="1" w:styleId="WideTable">
    <w:name w:val="Wide Table"/>
    <w:basedOn w:val="Normal"/>
    <w:rsid w:val="007831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31EC"/>
  </w:style>
  <w:style w:type="paragraph" w:styleId="Quote">
    <w:name w:val="Quote"/>
    <w:basedOn w:val="Heading1"/>
    <w:link w:val="QuoteChar"/>
    <w:qFormat/>
    <w:rsid w:val="007831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31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31EC"/>
    <w:pPr>
      <w:pageBreakBefore/>
    </w:pPr>
  </w:style>
  <w:style w:type="paragraph" w:customStyle="1" w:styleId="Border">
    <w:name w:val="Border"/>
    <w:basedOn w:val="Normal"/>
    <w:qFormat/>
    <w:rsid w:val="007831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31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31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31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31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31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31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31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31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31EC"/>
    <w:rPr>
      <w:u w:val="single"/>
    </w:rPr>
  </w:style>
  <w:style w:type="character" w:customStyle="1" w:styleId="BoldandItalics">
    <w:name w:val="Bold and Italics"/>
    <w:qFormat/>
    <w:rsid w:val="007831EC"/>
    <w:rPr>
      <w:b/>
      <w:i/>
      <w:u w:val="none"/>
    </w:rPr>
  </w:style>
  <w:style w:type="paragraph" w:styleId="BalloonText">
    <w:name w:val="Balloon Text"/>
    <w:basedOn w:val="Normal"/>
    <w:link w:val="BalloonTextChar"/>
    <w:rsid w:val="007831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31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31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31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31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31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31EC"/>
    <w:pPr>
      <w:spacing w:before="0" w:after="0"/>
    </w:pPr>
  </w:style>
  <w:style w:type="paragraph" w:customStyle="1" w:styleId="BodyTextBold">
    <w:name w:val="Body Text Bold"/>
    <w:basedOn w:val="BodyText"/>
    <w:qFormat/>
    <w:rsid w:val="007831EC"/>
    <w:rPr>
      <w:b/>
    </w:rPr>
  </w:style>
  <w:style w:type="character" w:styleId="Hyperlink">
    <w:name w:val="Hyperlink"/>
    <w:basedOn w:val="DefaultParagraphFont"/>
    <w:uiPriority w:val="99"/>
    <w:unhideWhenUsed/>
    <w:rsid w:val="00AB00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524</Words>
  <Characters>3631</Characters>
  <Application>Microsoft Office Word</Application>
  <DocSecurity>0</DocSecurity>
  <Lines>139</Lines>
  <Paragraphs>75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TLIX4023 Conduct configuration management activities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2022-10-25T05:30:00Z</dcterms:created>
  <dcterms:modified xsi:type="dcterms:W3CDTF">2022-10-25T05:30:00Z</dcterms:modified>
</cp:coreProperties>
</file>