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837" w:rsidP="00BD3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TLIX4018 Apply materiel sustainment process and procedures</w:t>
      </w:r>
      <w:r>
        <w:fldChar w:fldCharType="end"/>
      </w:r>
    </w:p>
    <w:p w:rsidR="00BD3837" w:rsidP="00BD3837">
      <w:pPr>
        <w:pStyle w:val="Version"/>
        <w:sectPr w:rsidSect="00602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D41" w:rsidP="00602D41">
      <w:pPr>
        <w:pStyle w:val="SuperHeading"/>
      </w:pPr>
      <w:r w:rsidRPr="00602D41">
        <w:t>TLIX4018 Apply materiel sustainment process and procedures</w:t>
      </w:r>
    </w:p>
    <w:p w:rsidR="00000000" w:rsidRPr="00602D41" w:rsidP="00602D41">
      <w:pPr>
        <w:pStyle w:val="Heading1"/>
      </w:pPr>
      <w:bookmarkStart w:id="1" w:name="O_754544"/>
      <w:bookmarkEnd w:id="1"/>
      <w:r w:rsidRPr="00602D41">
        <w:t>Modification History</w:t>
      </w:r>
    </w:p>
    <w:p w:rsidR="00BD3837" w:rsidP="00BD3837">
      <w:pPr>
        <w:pStyle w:val="BodyText"/>
      </w:pPr>
      <w:r w:rsidRPr="00602D41">
        <w:t>Release 1. This is the first release of this unit of competency in the TLI Transport and Logistics Training Package.</w:t>
      </w:r>
    </w:p>
    <w:p w:rsidR="00000000" w:rsidRPr="00602D41" w:rsidP="00602D41">
      <w:pPr>
        <w:pStyle w:val="Heading1"/>
      </w:pPr>
      <w:bookmarkStart w:id="2" w:name="O_754545"/>
      <w:bookmarkEnd w:id="2"/>
      <w:r w:rsidRPr="00602D4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41" w:rsidP="00602D41">
            <w:pPr>
              <w:pStyle w:val="BodyText"/>
            </w:pPr>
            <w:r w:rsidRPr="00602D41">
              <w:t>This unit involves the skills and knowledge required to apply materiel s</w:t>
            </w:r>
            <w:r w:rsidRPr="00602D41">
              <w:t xml:space="preserve">ustainment processes and procedures in accordance with relevant organisational policy and procedures. </w:t>
            </w:r>
          </w:p>
          <w:p w:rsidR="00000000" w:rsidRPr="00602D41" w:rsidP="00602D41">
            <w:pPr>
              <w:pStyle w:val="BodyText"/>
            </w:pPr>
            <w:r w:rsidRPr="00602D41">
              <w:t>The application of processes and procedures is specific to a variety of component processes including: materiel sustainment administrative procedures, ma</w:t>
            </w:r>
            <w:r w:rsidRPr="00602D41">
              <w:t xml:space="preserve">teriel sustainment data collection and storage, and materiel sustainment data retrieval. </w:t>
            </w:r>
          </w:p>
          <w:p w:rsidR="00000000" w:rsidRPr="00602D41" w:rsidP="00602D41">
            <w:pPr>
              <w:pStyle w:val="BodyText"/>
            </w:pPr>
            <w:r w:rsidRPr="00602D41">
              <w:t>This unit was developed for materiel sustainment specialists working within materiel logistics but is applicable to individuals in broader logistics roles.</w:t>
            </w:r>
          </w:p>
          <w:p w:rsidR="00000000" w:rsidRPr="00602D41" w:rsidP="00602D41">
            <w:pPr>
              <w:pStyle w:val="BodyText"/>
            </w:pPr>
            <w:r w:rsidRPr="00602D41">
              <w:t xml:space="preserve">Typically </w:t>
            </w:r>
            <w:r w:rsidRPr="00602D41">
              <w:t xml:space="preserve">these individuals work independently or as part of a team under direct and/or indirect supervision, use discretion and judgement, and take responsibility for the quality of their outputs. </w:t>
            </w:r>
          </w:p>
          <w:p w:rsidR="00000000" w:rsidRPr="00602D41" w:rsidP="00602D41">
            <w:pPr>
              <w:pStyle w:val="BodyText"/>
            </w:pPr>
            <w:r w:rsidRPr="00602D41">
              <w:t>No licensing, legislative or certification requirements apply to th</w:t>
            </w:r>
            <w:r w:rsidRPr="00602D41">
              <w:t>is unit at the time of publication.</w:t>
            </w:r>
          </w:p>
        </w:tc>
      </w:tr>
    </w:tbl>
    <w:p w:rsidR="00BD3837" w:rsidP="00602D41">
      <w:pPr>
        <w:pStyle w:val="BodyText"/>
      </w:pPr>
    </w:p>
    <w:p w:rsidR="00BD3837" w:rsidP="00602D41">
      <w:pPr>
        <w:pStyle w:val="BodyText"/>
      </w:pPr>
    </w:p>
    <w:p w:rsidR="00000000" w:rsidRPr="00602D41" w:rsidP="00602D41">
      <w:pPr>
        <w:pStyle w:val="Heading1"/>
      </w:pPr>
      <w:bookmarkStart w:id="3" w:name="O_754546"/>
      <w:bookmarkEnd w:id="3"/>
      <w:r w:rsidRPr="00602D41">
        <w:t>Pre-requisite Unit</w:t>
      </w:r>
    </w:p>
    <w:p w:rsidR="00BD3837" w:rsidP="00BD3837">
      <w:pPr>
        <w:pStyle w:val="BodyText"/>
      </w:pPr>
      <w:r w:rsidRPr="00602D41">
        <w:t>Not applicable.</w:t>
      </w:r>
    </w:p>
    <w:p w:rsidR="00000000" w:rsidRPr="00602D41" w:rsidP="00602D41">
      <w:pPr>
        <w:pStyle w:val="Heading1"/>
      </w:pPr>
      <w:bookmarkStart w:id="4" w:name="O_754547"/>
      <w:bookmarkEnd w:id="4"/>
      <w:r w:rsidRPr="00602D41">
        <w:t>Competency Field</w:t>
      </w:r>
    </w:p>
    <w:p w:rsidR="00BD3837" w:rsidP="00BD3837">
      <w:pPr>
        <w:pStyle w:val="BodyText"/>
      </w:pPr>
      <w:r w:rsidRPr="00602D41">
        <w:t>X – Logistics</w:t>
      </w:r>
    </w:p>
    <w:p w:rsidR="00000000" w:rsidRPr="00602D41" w:rsidP="00602D41">
      <w:pPr>
        <w:pStyle w:val="Heading1"/>
      </w:pPr>
      <w:bookmarkStart w:id="5" w:name="O_754548"/>
      <w:bookmarkEnd w:id="5"/>
      <w:r w:rsidRPr="00602D41">
        <w:t>Unit Sector</w:t>
      </w:r>
    </w:p>
    <w:p w:rsidR="00BD3837" w:rsidP="00BD3837">
      <w:pPr>
        <w:pStyle w:val="BodyText"/>
      </w:pPr>
      <w:r w:rsidRPr="00602D41">
        <w:t>Not applicable.</w:t>
      </w:r>
    </w:p>
    <w:p w:rsidR="00000000" w:rsidRPr="00602D41" w:rsidP="00602D41">
      <w:pPr>
        <w:pStyle w:val="Heading1"/>
      </w:pPr>
      <w:bookmarkStart w:id="6" w:name="O_754549"/>
      <w:bookmarkEnd w:id="6"/>
      <w:r w:rsidRPr="00602D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 xml:space="preserve">Elements describe the </w:t>
            </w:r>
            <w:r w:rsidRPr="00602D41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 xml:space="preserve">Performance criteria describe the performance needed to demonstrate achievement of the </w:t>
            </w:r>
            <w:r w:rsidRPr="00602D41">
              <w:t>element.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41" w:rsidP="00602D41">
            <w:pPr>
              <w:pStyle w:val="BodyText"/>
            </w:pPr>
            <w:r w:rsidRPr="00602D4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rPr>
                <w:rStyle w:val="SpecialBold"/>
              </w:rPr>
              <w:t>Prepare to apply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 xml:space="preserve">Requirement for applying materiel sustainment </w:t>
            </w:r>
            <w:r w:rsidRPr="00602D41">
              <w:t>processes and procedures is identified from work requests/instructions and is confirmed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 xml:space="preserve">Work health and safety (WHS)/occupational health and safety (OHS) requirements, including those contained in organisational procedures, are applied </w:t>
            </w:r>
            <w:r w:rsidRPr="00602D41">
              <w:t>throughout the operation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Required resources and equipment are identified, acquired and prepared in accordance with organisational procedures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Sources of information relevant to materiel sustainment requirements are identified and relevant info</w:t>
            </w:r>
            <w:r w:rsidRPr="00602D41">
              <w:t>rmation is obtained in accordance with organisational policy and procedures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41" w:rsidP="00602D41">
            <w:pPr>
              <w:pStyle w:val="BodyText"/>
            </w:pPr>
            <w:r w:rsidRPr="00602D4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rPr>
                <w:rStyle w:val="SpecialBold"/>
              </w:rPr>
              <w:t>Apply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Materiel sustainment processes and procedures are implemented and monitored within resource constraints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Materiel sustainment processes and procedures are amended based on changing circumstances in accordance with organisational policy and procedures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41" w:rsidP="00602D41">
            <w:pPr>
              <w:pStyle w:val="BodyText"/>
            </w:pPr>
            <w:r w:rsidRPr="00602D4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rPr>
                <w:rStyle w:val="SpecialBold"/>
              </w:rPr>
              <w:t>Monitor and report on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Materiel sustainment outcomes are r</w:t>
            </w:r>
            <w:r w:rsidRPr="00602D41">
              <w:t>eported to appropriate personnel in accordance with organisational policy and procedures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 xml:space="preserve">Materiel sustainment processes and procedures are monitored and reviewed to ensure systems and/or equipment capability is maintained, in accordance </w:t>
            </w:r>
            <w:r w:rsidRPr="00602D41">
              <w:t>with organisational policy and procedures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41" w:rsidP="00602D41">
            <w:pPr>
              <w:pStyle w:val="BodyText"/>
            </w:pPr>
            <w:r w:rsidRPr="00602D4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rPr>
                <w:rStyle w:val="SpecialBold"/>
              </w:rPr>
              <w:t>Maintain records for materiel sustainment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Materiel sustainment records are completed in accordance with organisational policy and procedures</w:t>
            </w:r>
          </w:p>
        </w:tc>
      </w:tr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41">
            <w:pPr>
              <w:pStyle w:val="BodyText"/>
              <w:rPr>
                <w:lang w:val="en-NZ"/>
              </w:rPr>
            </w:pPr>
            <w:r w:rsidRPr="00602D4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41" w:rsidP="00602D41">
            <w:pPr>
              <w:pStyle w:val="BodyText"/>
            </w:pPr>
            <w:r w:rsidRPr="00602D41">
              <w:t>Materiel sustainment records are a</w:t>
            </w:r>
            <w:r w:rsidRPr="00602D41">
              <w:t>mended and documented in accordance with organisational policy and procedures</w:t>
            </w:r>
          </w:p>
        </w:tc>
      </w:tr>
    </w:tbl>
    <w:p w:rsidR="00BD3837" w:rsidP="00602D41">
      <w:pPr>
        <w:pStyle w:val="BodyText"/>
      </w:pPr>
    </w:p>
    <w:p w:rsidR="00BD3837" w:rsidP="00602D41">
      <w:pPr>
        <w:pStyle w:val="BodyText"/>
      </w:pPr>
    </w:p>
    <w:p w:rsidR="00000000" w:rsidRPr="00602D41" w:rsidP="00602D41">
      <w:pPr>
        <w:pStyle w:val="Heading1"/>
      </w:pPr>
      <w:bookmarkStart w:id="7" w:name="O_754550"/>
      <w:bookmarkEnd w:id="7"/>
      <w:r w:rsidRPr="00602D4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D3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41" w:rsidP="00602D41">
            <w:pPr>
              <w:pStyle w:val="BodyText"/>
            </w:pPr>
            <w:r w:rsidRPr="00602D41">
              <w:t>Foundation skills essential to performance are explicit in the performance criteria of this unit of competency.</w:t>
            </w:r>
          </w:p>
        </w:tc>
      </w:tr>
    </w:tbl>
    <w:p w:rsidR="00BD3837" w:rsidP="00602D41">
      <w:pPr>
        <w:pStyle w:val="BodyText"/>
      </w:pPr>
    </w:p>
    <w:p w:rsidR="00BD3837" w:rsidP="00602D41">
      <w:pPr>
        <w:pStyle w:val="BodyText"/>
      </w:pPr>
    </w:p>
    <w:p w:rsidR="00000000" w:rsidRPr="00602D41" w:rsidP="00602D41">
      <w:pPr>
        <w:pStyle w:val="Heading1"/>
      </w:pPr>
      <w:bookmarkStart w:id="8" w:name="O_754551"/>
      <w:bookmarkEnd w:id="8"/>
      <w:r w:rsidRPr="00602D41">
        <w:t>Range of Conditions</w:t>
      </w:r>
    </w:p>
    <w:p w:rsidR="00000000" w:rsidRPr="00602D41" w:rsidP="00BD3837">
      <w:pPr>
        <w:pStyle w:val="BodyText"/>
      </w:pPr>
      <w:r w:rsidRPr="00602D41">
        <w:t>Range is restricted to essential operating conditions and any other variables essential to the work environment.</w:t>
      </w:r>
    </w:p>
    <w:p w:rsidR="00BD3837" w:rsidP="00BD3837">
      <w:pPr>
        <w:pStyle w:val="BodyText"/>
      </w:pPr>
      <w:r w:rsidRPr="00602D41">
        <w:t>Non-essential conditions can be found in the Companion Volume Implementation Guide.</w:t>
      </w:r>
    </w:p>
    <w:p w:rsidR="00000000" w:rsidRPr="00602D41" w:rsidP="00602D41">
      <w:pPr>
        <w:pStyle w:val="Heading1"/>
      </w:pPr>
      <w:bookmarkStart w:id="9" w:name="O_754552"/>
      <w:bookmarkEnd w:id="9"/>
      <w:r w:rsidRPr="00602D41">
        <w:t>Unit Mapping Informat</w:t>
      </w:r>
      <w:r w:rsidRPr="00602D41">
        <w:t>ion</w:t>
      </w:r>
    </w:p>
    <w:p w:rsidR="00BD3837" w:rsidP="00BD3837">
      <w:pPr>
        <w:pStyle w:val="BodyText"/>
      </w:pPr>
      <w:r w:rsidRPr="00602D41">
        <w:t>This unit replaces and is equivalent to TLIX4018A Apply materiel sustainment processes and procedures.</w:t>
      </w:r>
    </w:p>
    <w:p w:rsidR="00000000" w:rsidRPr="00602D41" w:rsidP="00602D41">
      <w:pPr>
        <w:pStyle w:val="Heading1"/>
      </w:pPr>
      <w:bookmarkStart w:id="10" w:name="O_754559"/>
      <w:bookmarkEnd w:id="10"/>
      <w:r w:rsidRPr="00602D41">
        <w:t>Links</w:t>
      </w:r>
    </w:p>
    <w:p w:rsidR="00000000" w:rsidRPr="00602D41" w:rsidP="00BD3837">
      <w:pPr>
        <w:pStyle w:val="BodyText"/>
      </w:pPr>
      <w:r w:rsidRPr="00602D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276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2D41" w:rsidP="00602D41"/>
    <w:sectPr w:rsidSect="00602D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41" w:rsidRPr="00BD3837" w:rsidP="00BD3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7" w:rsidP="00602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837" w:rsidP="00602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3837" w:rsidP="00602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D41" w:rsidRPr="00BD3837" w:rsidP="00BD3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7" w:rsidRPr="002D2AF8" w:rsidP="00602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TLIX4018 Apply materiel sustainment process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BD3837" w:rsidP="00602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D41"/>
  </w:style>
  <w:style w:type="character" w:customStyle="1" w:styleId="Heading1Char">
    <w:name w:val="Heading 1 Char"/>
    <w:basedOn w:val="DefaultParagraphFont"/>
    <w:link w:val="Heading1"/>
    <w:rsid w:val="00602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D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2D41"/>
    <w:rPr>
      <w:b/>
      <w:spacing w:val="0"/>
    </w:rPr>
  </w:style>
  <w:style w:type="paragraph" w:customStyle="1" w:styleId="SuperHeading">
    <w:name w:val="SuperHeading"/>
    <w:basedOn w:val="Normal"/>
    <w:rsid w:val="00602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D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D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2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D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D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D41"/>
    <w:rPr>
      <w:i/>
    </w:rPr>
  </w:style>
  <w:style w:type="paragraph" w:styleId="Caption">
    <w:name w:val="caption"/>
    <w:basedOn w:val="BodyText"/>
    <w:next w:val="Normal"/>
    <w:qFormat/>
    <w:rsid w:val="00602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D41"/>
  </w:style>
  <w:style w:type="paragraph" w:styleId="TableofFigures">
    <w:name w:val="table of figures"/>
    <w:basedOn w:val="Normal"/>
    <w:next w:val="Normal"/>
    <w:semiHidden/>
    <w:rsid w:val="00602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D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2D41"/>
    <w:rPr>
      <w:rFonts w:ascii="Wingdings" w:hAnsi="Wingdings"/>
    </w:rPr>
  </w:style>
  <w:style w:type="paragraph" w:customStyle="1" w:styleId="TableHeading">
    <w:name w:val="Table Heading"/>
    <w:basedOn w:val="HeadingBase"/>
    <w:rsid w:val="00602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D41"/>
    <w:rPr>
      <w:color w:val="0033CC"/>
      <w:u w:val="none"/>
    </w:rPr>
  </w:style>
  <w:style w:type="paragraph" w:customStyle="1" w:styleId="BodyTextRight">
    <w:name w:val="Body Text Right"/>
    <w:basedOn w:val="BodyText"/>
    <w:rsid w:val="00602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D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D41"/>
    <w:rPr>
      <w:sz w:val="32"/>
    </w:rPr>
  </w:style>
  <w:style w:type="paragraph" w:customStyle="1" w:styleId="HeadingProcedure">
    <w:name w:val="Heading Procedure"/>
    <w:basedOn w:val="HeadingBase"/>
    <w:next w:val="Normal"/>
    <w:rsid w:val="00602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D41"/>
    <w:pPr>
      <w:spacing w:before="60" w:after="60"/>
    </w:pPr>
  </w:style>
  <w:style w:type="paragraph" w:styleId="ListContinue">
    <w:name w:val="List Continue"/>
    <w:basedOn w:val="List"/>
    <w:rsid w:val="00602D41"/>
    <w:pPr>
      <w:ind w:firstLine="0"/>
    </w:pPr>
  </w:style>
  <w:style w:type="paragraph" w:customStyle="1" w:styleId="ListNote">
    <w:name w:val="List Note"/>
    <w:basedOn w:val="List"/>
    <w:rsid w:val="00602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D41"/>
    <w:rPr>
      <w:rFonts w:ascii="Courier New" w:hAnsi="Courier New"/>
    </w:rPr>
  </w:style>
  <w:style w:type="paragraph" w:customStyle="1" w:styleId="NoteBullet">
    <w:name w:val="Note Bullet"/>
    <w:basedOn w:val="Note"/>
    <w:rsid w:val="00602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D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2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D41"/>
    <w:rPr>
      <w:b/>
      <w:smallCaps/>
    </w:rPr>
  </w:style>
  <w:style w:type="paragraph" w:customStyle="1" w:styleId="TableListNumber">
    <w:name w:val="Table List Number"/>
    <w:basedOn w:val="ListNumber"/>
    <w:rsid w:val="00602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D41"/>
    <w:pPr>
      <w:numPr>
        <w:numId w:val="7"/>
      </w:numPr>
    </w:pPr>
  </w:style>
  <w:style w:type="paragraph" w:customStyle="1" w:styleId="ListAlpha2">
    <w:name w:val="List Alpha 2"/>
    <w:basedOn w:val="List2"/>
    <w:rsid w:val="00602D41"/>
    <w:pPr>
      <w:numPr>
        <w:numId w:val="6"/>
      </w:numPr>
    </w:pPr>
  </w:style>
  <w:style w:type="paragraph" w:styleId="List2">
    <w:name w:val="List 2"/>
    <w:basedOn w:val="BodyText"/>
    <w:rsid w:val="00602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D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D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2D41"/>
    <w:pPr>
      <w:numPr>
        <w:numId w:val="2"/>
      </w:numPr>
    </w:pPr>
  </w:style>
  <w:style w:type="paragraph" w:styleId="ListContinue2">
    <w:name w:val="List Continue 2"/>
    <w:basedOn w:val="List2"/>
    <w:rsid w:val="00602D41"/>
    <w:pPr>
      <w:ind w:firstLine="0"/>
    </w:pPr>
  </w:style>
  <w:style w:type="paragraph" w:styleId="ListContinue3">
    <w:name w:val="List Continue 3"/>
    <w:basedOn w:val="List3"/>
    <w:rsid w:val="00602D41"/>
    <w:pPr>
      <w:ind w:left="1021" w:firstLine="0"/>
    </w:pPr>
  </w:style>
  <w:style w:type="paragraph" w:styleId="ListContinue4">
    <w:name w:val="List Continue 4"/>
    <w:basedOn w:val="List4"/>
    <w:rsid w:val="00602D41"/>
    <w:pPr>
      <w:ind w:firstLine="0"/>
    </w:pPr>
  </w:style>
  <w:style w:type="paragraph" w:styleId="ListContinue5">
    <w:name w:val="List Continue 5"/>
    <w:basedOn w:val="List5"/>
    <w:rsid w:val="00602D41"/>
    <w:pPr>
      <w:ind w:firstLine="0"/>
    </w:pPr>
  </w:style>
  <w:style w:type="paragraph" w:styleId="ListNumber3">
    <w:name w:val="List Number 3"/>
    <w:basedOn w:val="List3"/>
    <w:rsid w:val="00602D41"/>
    <w:pPr>
      <w:numPr>
        <w:numId w:val="3"/>
      </w:numPr>
    </w:pPr>
  </w:style>
  <w:style w:type="paragraph" w:styleId="ListNumber4">
    <w:name w:val="List Number 4"/>
    <w:basedOn w:val="List4"/>
    <w:rsid w:val="00602D41"/>
    <w:pPr>
      <w:numPr>
        <w:numId w:val="4"/>
      </w:numPr>
    </w:pPr>
  </w:style>
  <w:style w:type="paragraph" w:styleId="ListNumber5">
    <w:name w:val="List Number 5"/>
    <w:basedOn w:val="List5"/>
    <w:rsid w:val="00602D41"/>
    <w:pPr>
      <w:numPr>
        <w:numId w:val="5"/>
      </w:numPr>
    </w:pPr>
  </w:style>
  <w:style w:type="paragraph" w:styleId="BlockText">
    <w:name w:val="Block Text"/>
    <w:basedOn w:val="Normal"/>
    <w:rsid w:val="00602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D41"/>
    <w:rPr>
      <w:sz w:val="16"/>
      <w:vertAlign w:val="superscript"/>
    </w:rPr>
  </w:style>
  <w:style w:type="character" w:customStyle="1" w:styleId="Symbols">
    <w:name w:val="Symbols"/>
    <w:basedOn w:val="DefaultParagraphFont"/>
    <w:rsid w:val="00602D41"/>
    <w:rPr>
      <w:rFonts w:ascii="Symbol" w:hAnsi="Symbol"/>
    </w:rPr>
  </w:style>
  <w:style w:type="character" w:customStyle="1" w:styleId="MenuOptions">
    <w:name w:val="Menu Options"/>
    <w:basedOn w:val="DefaultParagraphFont"/>
    <w:rsid w:val="00602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D41"/>
    <w:rPr>
      <w:b/>
    </w:rPr>
  </w:style>
  <w:style w:type="character" w:customStyle="1" w:styleId="Underlined">
    <w:name w:val="Underlined"/>
    <w:basedOn w:val="DefaultParagraphFont"/>
    <w:rsid w:val="00602D41"/>
    <w:rPr>
      <w:u w:val="single"/>
    </w:rPr>
  </w:style>
  <w:style w:type="paragraph" w:customStyle="1" w:styleId="TableBodyTextRight">
    <w:name w:val="Table Body Text Right"/>
    <w:basedOn w:val="TableBodyText"/>
    <w:rsid w:val="00602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D41"/>
    <w:rPr>
      <w:sz w:val="18"/>
    </w:rPr>
  </w:style>
  <w:style w:type="paragraph" w:customStyle="1" w:styleId="BodySmallRight">
    <w:name w:val="Body Small Right"/>
    <w:basedOn w:val="BodyTextRight"/>
    <w:rsid w:val="00602D41"/>
    <w:rPr>
      <w:sz w:val="18"/>
      <w:szCs w:val="18"/>
    </w:rPr>
  </w:style>
  <w:style w:type="paragraph" w:customStyle="1" w:styleId="MarginEdition">
    <w:name w:val="Margin Edition"/>
    <w:basedOn w:val="MarginNote"/>
    <w:rsid w:val="00602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D41"/>
    <w:rPr>
      <w:sz w:val="2"/>
      <w:szCs w:val="2"/>
    </w:rPr>
  </w:style>
  <w:style w:type="character" w:customStyle="1" w:styleId="Small">
    <w:name w:val="Small"/>
    <w:basedOn w:val="DefaultParagraphFont"/>
    <w:rsid w:val="00602D41"/>
    <w:rPr>
      <w:sz w:val="16"/>
    </w:rPr>
  </w:style>
  <w:style w:type="paragraph" w:customStyle="1" w:styleId="WideTable">
    <w:name w:val="Wide Table"/>
    <w:basedOn w:val="Normal"/>
    <w:rsid w:val="00602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D41"/>
  </w:style>
  <w:style w:type="paragraph" w:styleId="Quote">
    <w:name w:val="Quote"/>
    <w:basedOn w:val="Heading1"/>
    <w:link w:val="QuoteChar"/>
    <w:qFormat/>
    <w:rsid w:val="00602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D41"/>
    <w:pPr>
      <w:pageBreakBefore/>
    </w:pPr>
  </w:style>
  <w:style w:type="paragraph" w:customStyle="1" w:styleId="Border">
    <w:name w:val="Border"/>
    <w:basedOn w:val="Normal"/>
    <w:qFormat/>
    <w:rsid w:val="00602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D41"/>
    <w:rPr>
      <w:u w:val="single"/>
    </w:rPr>
  </w:style>
  <w:style w:type="character" w:customStyle="1" w:styleId="BoldandItalics">
    <w:name w:val="Bold and Italics"/>
    <w:qFormat/>
    <w:rsid w:val="00602D41"/>
    <w:rPr>
      <w:b/>
      <w:i/>
      <w:u w:val="none"/>
    </w:rPr>
  </w:style>
  <w:style w:type="paragraph" w:styleId="BalloonText">
    <w:name w:val="Balloon Text"/>
    <w:basedOn w:val="Normal"/>
    <w:link w:val="BalloonTextChar"/>
    <w:rsid w:val="00602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D41"/>
    <w:pPr>
      <w:spacing w:before="0" w:after="0"/>
    </w:pPr>
  </w:style>
  <w:style w:type="paragraph" w:customStyle="1" w:styleId="BodyTextBold">
    <w:name w:val="Body Text Bold"/>
    <w:basedOn w:val="BodyText"/>
    <w:qFormat/>
    <w:rsid w:val="00602D41"/>
    <w:rPr>
      <w:b/>
    </w:rPr>
  </w:style>
  <w:style w:type="character" w:styleId="Hyperlink">
    <w:name w:val="Hyperlink"/>
    <w:basedOn w:val="DefaultParagraphFont"/>
    <w:uiPriority w:val="99"/>
    <w:unhideWhenUsed/>
    <w:rsid w:val="00BD3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3417</Characters>
  <Application>Microsoft Office Word</Application>
  <DocSecurity>0</DocSecurity>
  <Lines>131</Lines>
  <Paragraphs>68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TLIX4018 Apply materiel sustainment process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2022-10-25T05:32:00Z</dcterms:created>
  <dcterms:modified xsi:type="dcterms:W3CDTF">2022-10-25T05:32:00Z</dcterms:modified>
</cp:coreProperties>
</file>