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70C" w:rsidP="007F070C">
      <w:pPr>
        <w:pStyle w:val="Title"/>
      </w:pPr>
      <w:r>
        <w:fldChar w:fldCharType="begin"/>
      </w:r>
      <w:r>
        <w:instrText xml:space="preserve"> TITLE   \* MERGEFORMAT </w:instrText>
      </w:r>
      <w:r>
        <w:fldChar w:fldCharType="separate"/>
      </w:r>
      <w:r>
        <w:t>TLIX0073 Organise supply support on deployment</w:t>
      </w:r>
      <w:r>
        <w:fldChar w:fldCharType="end"/>
      </w:r>
    </w:p>
    <w:p w:rsidR="007F070C" w:rsidP="007F070C">
      <w:pPr>
        <w:pStyle w:val="Version"/>
        <w:sectPr w:rsidSect="00AE7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311" w:rsidP="00AE7311">
      <w:pPr>
        <w:pStyle w:val="SuperHeading"/>
      </w:pPr>
      <w:r w:rsidRPr="00AE7311">
        <w:t>TLIX0073 Organise supply support on deployment</w:t>
      </w:r>
    </w:p>
    <w:p w:rsidR="00000000" w:rsidRPr="00AE7311" w:rsidP="00AE7311">
      <w:pPr>
        <w:pStyle w:val="Heading1"/>
      </w:pPr>
      <w:bookmarkStart w:id="1" w:name="O_1269183"/>
      <w:bookmarkEnd w:id="1"/>
      <w:r w:rsidRPr="00AE7311">
        <w:t>Modification History</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Release 1.</w:t>
            </w:r>
            <w:r w:rsidRPr="00AE7311">
              <w:t xml:space="preserve"> This is the first release of this unit of competency in the TLI Transport and Logistics Training Package.</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2" w:name="O_1269184"/>
      <w:bookmarkEnd w:id="2"/>
      <w:r w:rsidRPr="00AE7311">
        <w:t>Application</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This unit involves the skills and knowledge required to organise supply supp</w:t>
            </w:r>
            <w:r w:rsidRPr="00AE7311">
              <w:t xml:space="preserve">ort on deployment. </w:t>
            </w:r>
          </w:p>
          <w:p w:rsidR="00000000" w:rsidRPr="00AE7311" w:rsidP="00AE7311">
            <w:pPr>
              <w:pStyle w:val="BodyText"/>
            </w:pPr>
            <w:r w:rsidRPr="00AE7311">
              <w:t>It includes managing procurement, controlling inventory of supplies and managing warehousing of supplies. It also includes managing return, salvage and disposal of supplies.</w:t>
            </w:r>
          </w:p>
          <w:p w:rsidR="00000000" w:rsidRPr="00AE7311" w:rsidP="00AE7311">
            <w:pPr>
              <w:pStyle w:val="BodyText"/>
            </w:pPr>
            <w:r w:rsidRPr="00AE7311">
              <w:t>This unit is applicable to logistics personnel responsible for</w:t>
            </w:r>
            <w:r w:rsidRPr="00AE7311">
              <w:t xml:space="preserve"> organising and managing delivery of supply support in a deployment context.</w:t>
            </w:r>
          </w:p>
          <w:p w:rsidR="00000000" w:rsidRPr="00AE7311" w:rsidP="00AE7311">
            <w:pPr>
              <w:pStyle w:val="BodyText"/>
            </w:pPr>
            <w:r w:rsidRPr="00AE7311">
              <w:t>No licensing, legislative or certification requirements apply to this unit at the time of publication.</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3" w:name="O_1269185"/>
      <w:bookmarkEnd w:id="3"/>
      <w:r w:rsidRPr="00AE7311">
        <w:t>Pre-requisite Unit</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Not applicable.</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4" w:name="O_1269186"/>
      <w:bookmarkEnd w:id="4"/>
      <w:r w:rsidRPr="00AE7311">
        <w:t>Competency Field</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X – Logistics</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5" w:name="O_1269187"/>
      <w:bookmarkEnd w:id="5"/>
      <w:r w:rsidRPr="00AE7311">
        <w:t>Unit Sector</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Not applicable.</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6" w:name="O_1269188"/>
      <w:bookmarkEnd w:id="6"/>
      <w:r w:rsidRPr="00AE7311">
        <w:t>Elements and Performance Criteria</w:t>
      </w:r>
    </w:p>
    <w:tbl>
      <w:tblPr>
        <w:tblW w:w="9497" w:type="dxa"/>
        <w:tblLayout w:type="fixed"/>
        <w:tblCellMar>
          <w:left w:w="62" w:type="dxa"/>
          <w:right w:w="62" w:type="dxa"/>
        </w:tblCellMar>
        <w:tblLook w:val="0000"/>
      </w:tblPr>
      <w:tblGrid>
        <w:gridCol w:w="730"/>
        <w:gridCol w:w="2927"/>
        <w:gridCol w:w="1497"/>
        <w:gridCol w:w="4343"/>
      </w:tblGrid>
      <w:tr w:rsidTr="00AE7311">
        <w:tblPrEx>
          <w:tblW w:w="9497" w:type="dxa"/>
          <w:tblLayout w:type="fixed"/>
          <w:tblCellMar>
            <w:left w:w="62" w:type="dxa"/>
            <w:right w:w="62" w:type="dxa"/>
          </w:tblCellMar>
          <w:tblLook w:val="0000"/>
        </w:tblPrEx>
        <w:tc>
          <w:tcPr>
            <w:tcW w:w="3657" w:type="dxa"/>
            <w:gridSpan w:val="2"/>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Elements describe the essential outcomes.</w:t>
            </w:r>
          </w:p>
        </w:tc>
        <w:tc>
          <w:tcPr>
            <w:tcW w:w="5840" w:type="dxa"/>
            <w:gridSpan w:val="2"/>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Performance criteria describe the performance needed to demonstrate achievement of the element.</w:t>
            </w:r>
          </w:p>
        </w:tc>
      </w:tr>
      <w:tr w:rsidTr="00AE7311">
        <w:tblPrEx>
          <w:tblW w:w="9497" w:type="dxa"/>
          <w:tblLayout w:type="fixed"/>
          <w:tblCellMar>
            <w:left w:w="62" w:type="dxa"/>
            <w:right w:w="62" w:type="dxa"/>
          </w:tblCellMar>
          <w:tblLook w:val="0000"/>
        </w:tblPrEx>
        <w:tc>
          <w:tcPr>
            <w:tcW w:w="730" w:type="dxa"/>
            <w:vMerge w:val="restart"/>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1</w:t>
            </w:r>
          </w:p>
        </w:tc>
        <w:tc>
          <w:tcPr>
            <w:tcW w:w="2927" w:type="dxa"/>
            <w:vMerge w:val="restart"/>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Manage procurement</w:t>
            </w: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1.1</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Local procurement is utilised to contribute to organisational sustainment</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1.2</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Deployment input to central procurement is provided to contribute to organisational sustainment</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1.3</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 xml:space="preserve">Governance requirements relating to </w:t>
            </w:r>
            <w:r w:rsidRPr="00AE7311">
              <w:t>procurement are maintained in accordance with organisational policy and procedure</w:t>
            </w:r>
          </w:p>
        </w:tc>
      </w:tr>
      <w:tr w:rsidTr="00AE7311">
        <w:tblPrEx>
          <w:tblW w:w="9497" w:type="dxa"/>
          <w:tblLayout w:type="fixed"/>
          <w:tblCellMar>
            <w:left w:w="62" w:type="dxa"/>
            <w:right w:w="62" w:type="dxa"/>
          </w:tblCellMar>
          <w:tblLook w:val="0000"/>
        </w:tblPrEx>
        <w:tc>
          <w:tcPr>
            <w:tcW w:w="730" w:type="dxa"/>
            <w:vMerge w:val="restart"/>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2</w:t>
            </w:r>
          </w:p>
        </w:tc>
        <w:tc>
          <w:tcPr>
            <w:tcW w:w="2927" w:type="dxa"/>
            <w:vMerge w:val="restart"/>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Control inventory of supplies</w:t>
            </w: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2.1</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Accounting for stocks is monitored including stocktaking and earmarking stock for specific purposes</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2.2</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Logistics information management systems are used to control inventory and to support organisational decision making</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2.3</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Positioning and distr</w:t>
            </w:r>
            <w:r w:rsidRPr="00AE7311">
              <w:t>ibuting stock in the supply chain are supervised to accommodate stockholding plans and forecast usage</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2.4</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Processing stock demands is monitored to ensure stocks are made available for distribution to locations in line with dependency needs</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2.5</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Arrangements for distributing and delivering stock are monitored to ensure smooth transition between supply and distribution</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2.6</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Stock replenishment quantities and timeframes determined by usage and provision plan is supervised to ensure appropriate sto</w:t>
            </w:r>
            <w:r w:rsidRPr="00AE7311">
              <w:t>ckholdings</w:t>
            </w:r>
          </w:p>
        </w:tc>
      </w:tr>
      <w:tr w:rsidTr="00AE7311">
        <w:tblPrEx>
          <w:tblW w:w="9497" w:type="dxa"/>
          <w:tblLayout w:type="fixed"/>
          <w:tblCellMar>
            <w:left w:w="62" w:type="dxa"/>
            <w:right w:w="62" w:type="dxa"/>
          </w:tblCellMar>
          <w:tblLook w:val="0000"/>
        </w:tblPrEx>
        <w:tc>
          <w:tcPr>
            <w:tcW w:w="730" w:type="dxa"/>
            <w:vMerge w:val="restart"/>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3</w:t>
            </w:r>
          </w:p>
        </w:tc>
        <w:tc>
          <w:tcPr>
            <w:tcW w:w="2927" w:type="dxa"/>
            <w:vMerge w:val="restart"/>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Manage warehousing of supplies</w:t>
            </w: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3.1</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Work health and safety (WHS)/occupational health and safety (OHS) requirements and recognised safety precautions are applied throughout the operation in accordance with standard procedures</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3.2</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Warehouse is sited consistent with overall logistics support concept and consideration for siting</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3.3</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Warehouse functional components are established in accordance with operational requirements and commodities required to be supplied</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3.4</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Stores secur</w:t>
            </w:r>
            <w:r w:rsidRPr="00AE7311">
              <w:t>ity is established and monitored</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3.5</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Principles of warehousing are applied to obtain maximum operational effectiveness of the warehouse and personnel</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3.6</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Stock location methods are implemented and monitored</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3.7</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Storage principles, as they apply to different commodity groups, are applied</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3.8</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Warehousing documentation methods are monitored to ensure warehouse accounting is accurate and visibility of stock location in supply chain is maintained</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3.9</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Warehousing procedures relating to receipts and issues are monitored to ensure integrity of warehousing processes</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3.10</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Warehousing procedures relating to hazardous stocks, segregation, dispersion requirements and stock compatibility are applied</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3.11</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Stock inspections are carried out to confirm stock records are correct, life expectancy repackaging or renewal dates are applied, serviceability of packaging is being maintained, and to identify technical inspections or routine maintenance requirements</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3.12</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Use of material handling equipment is monitored to ensure efficient and safe material handling within the warehouse</w:t>
            </w:r>
          </w:p>
        </w:tc>
      </w:tr>
      <w:tr w:rsidTr="00AE7311">
        <w:tblPrEx>
          <w:tblW w:w="9497" w:type="dxa"/>
          <w:tblLayout w:type="fixed"/>
          <w:tblCellMar>
            <w:left w:w="62" w:type="dxa"/>
            <w:right w:w="62" w:type="dxa"/>
          </w:tblCellMar>
          <w:tblLook w:val="0000"/>
        </w:tblPrEx>
        <w:tc>
          <w:tcPr>
            <w:tcW w:w="730" w:type="dxa"/>
            <w:vMerge w:val="restart"/>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4</w:t>
            </w:r>
          </w:p>
        </w:tc>
        <w:tc>
          <w:tcPr>
            <w:tcW w:w="2927" w:type="dxa"/>
            <w:vMerge w:val="restart"/>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Manage return, salvage and disposal of supplies</w:t>
            </w: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4.1</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Return processes are monitored to ensure they are applied in accordance with organisational policy and procedures</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4.2</w:t>
            </w:r>
          </w:p>
        </w:tc>
        <w:tc>
          <w:tcPr>
            <w:tcW w:w="4343"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Salvage processes and procedures are monitored to ensure recycling of damaged, discarded, condemned or abandoned material is in accorda</w:t>
            </w:r>
            <w:r w:rsidRPr="00AE7311">
              <w:t>nce with organisational policy and procedure</w:t>
            </w:r>
          </w:p>
        </w:tc>
      </w:tr>
      <w:tr w:rsidTr="00AE7311">
        <w:tblPrEx>
          <w:tblW w:w="9497" w:type="dxa"/>
          <w:tblLayout w:type="fixed"/>
          <w:tblCellMar>
            <w:left w:w="62" w:type="dxa"/>
            <w:right w:w="62" w:type="dxa"/>
          </w:tblCellMar>
          <w:tblLook w:val="0000"/>
        </w:tblPrEx>
        <w:tc>
          <w:tcPr>
            <w:tcW w:w="73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27" w:type="dxa"/>
            <w:vMerge/>
            <w:tcBorders>
              <w:top w:val="nil"/>
              <w:left w:val="nil"/>
              <w:bottom w:val="nil"/>
              <w:right w:val="nil"/>
            </w:tcBorders>
            <w:tcMar>
              <w:top w:w="0" w:type="dxa"/>
              <w:left w:w="62" w:type="dxa"/>
              <w:bottom w:w="0" w:type="dxa"/>
              <w:right w:w="62" w:type="dxa"/>
            </w:tcMar>
          </w:tcPr>
          <w:p w:rsidR="00000000" w:rsidRPr="00AE7311">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rPr>
                <w:rStyle w:val="SpecialBold"/>
              </w:rPr>
              <w:t>4.3</w:t>
            </w:r>
          </w:p>
        </w:tc>
        <w:tc>
          <w:tcPr>
            <w:tcW w:w="4343"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Disposal processes are monitored to ensure material is appropriately removed from circulation and use in accordance with organisational policy and procedure</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7" w:name="O_1269189"/>
      <w:bookmarkEnd w:id="7"/>
      <w:r w:rsidRPr="00AE7311">
        <w:t>Foundation Skills</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Foundation skills essential to performance are explicit in the performance criteria of this unit of competency.</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8" w:name="O_1269190"/>
      <w:bookmarkEnd w:id="8"/>
      <w:r w:rsidRPr="00AE7311">
        <w:t>Range of Conditions</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Range is restricted to essential operating conditions and any other variables essential to the work env</w:t>
            </w:r>
            <w:r w:rsidRPr="00AE7311">
              <w:t>ironment.</w:t>
            </w:r>
          </w:p>
          <w:p w:rsidR="00000000" w:rsidRPr="00AE7311" w:rsidP="00AE7311">
            <w:pPr>
              <w:pStyle w:val="BodyText"/>
            </w:pPr>
            <w:r w:rsidRPr="00AE7311">
              <w:t>Non-essential conditions can be found in the Companion Volume Implementation Guide.</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9" w:name="O_1269191"/>
      <w:bookmarkEnd w:id="9"/>
      <w:r w:rsidRPr="00AE7311">
        <w:t>Unit Mapping Information</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This unit replaces and is equivalent to TLIX5041 Organise supply support on deployment.</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10" w:name="O_1269200"/>
      <w:bookmarkEnd w:id="10"/>
      <w:r w:rsidRPr="00AE7311">
        <w:t>Links</w:t>
      </w:r>
    </w:p>
    <w:p w:rsidR="00000000" w:rsidRPr="00AE7311" w:rsidP="007F070C">
      <w:pPr>
        <w:pStyle w:val="BodyText"/>
      </w:pPr>
      <w:r w:rsidRPr="00AE731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0BC4">
        <w:rPr>
          <w:rStyle w:val="Hyperlink"/>
        </w:rPr>
        <w:t>https://vetnet.gov.au/Pages/TrainingDocs.aspx?q=df441c6e-213d-43e3-874c-0b3f7036d851</w:t>
      </w:r>
      <w:r>
        <w:fldChar w:fldCharType="end"/>
      </w:r>
    </w:p>
    <w:p w:rsidR="00000000" w:rsidRPr="00AE7311" w:rsidP="007F070C">
      <w:pPr>
        <w:pStyle w:val="BodyText"/>
        <w:sectPr w:rsidSect="00AE7311">
          <w:headerReference w:type="default" r:id="rId10"/>
          <w:footerReference w:type="default" r:id="rId11"/>
          <w:pgSz w:w="11908" w:h="16833"/>
          <w:pgMar w:top="1702" w:right="1418" w:bottom="1702" w:left="1418" w:header="992" w:footer="992" w:gutter="0"/>
          <w:cols w:space="720"/>
          <w:noEndnote/>
          <w:docGrid w:linePitch="299"/>
        </w:sectPr>
      </w:pPr>
    </w:p>
    <w:p w:rsidR="00000000" w:rsidRPr="00AE7311" w:rsidP="00AE7311">
      <w:pPr>
        <w:pStyle w:val="SuperHeading"/>
      </w:pPr>
      <w:r w:rsidRPr="00AE7311">
        <w:t>Assessment Requirements for TLIX0073 Organise supply support on</w:t>
      </w:r>
      <w:r w:rsidRPr="00AE7311">
        <w:t xml:space="preserve"> deployment</w:t>
      </w:r>
    </w:p>
    <w:p w:rsidR="00000000" w:rsidRPr="00AE7311" w:rsidP="00AE7311">
      <w:pPr>
        <w:pStyle w:val="Heading1"/>
      </w:pPr>
      <w:bookmarkStart w:id="11" w:name="O_1269193"/>
      <w:bookmarkEnd w:id="11"/>
      <w:r w:rsidRPr="00AE7311">
        <w:t>Modification History</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rPr>
                <w:rStyle w:val="SpecialBold"/>
              </w:rPr>
              <w:t>Release 1.</w:t>
            </w:r>
            <w:r w:rsidRPr="00AE7311">
              <w:t xml:space="preserve"> This is the first release of this unit of competency in the TLI Transport and Logistics Training Package.</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12" w:name="O_1269194"/>
      <w:bookmarkEnd w:id="12"/>
      <w:r w:rsidRPr="00AE7311">
        <w:t>Performance Evidence</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Evidence required to demonstrate competence in this unit must be relevant to and satisfy all the requirements of the elements and performance criteria on at least one occasion and include:</w:t>
            </w:r>
          </w:p>
        </w:tc>
      </w:tr>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ListBullet"/>
            </w:pPr>
            <w:r w:rsidRPr="00AE7311">
              <w:t>analysing and validating information accurately</w:t>
            </w:r>
          </w:p>
          <w:p w:rsidR="00000000" w:rsidRPr="00AE7311" w:rsidP="00AE7311">
            <w:pPr>
              <w:pStyle w:val="ListBullet"/>
            </w:pPr>
            <w:r w:rsidRPr="00AE7311">
              <w:t>analysing task complexities such as limitations, freedoms, vulnerabilities, time limitations</w:t>
            </w:r>
          </w:p>
          <w:p w:rsidR="00000000" w:rsidRPr="00AE7311" w:rsidP="00AE7311">
            <w:pPr>
              <w:pStyle w:val="ListBullet"/>
            </w:pPr>
            <w:r w:rsidRPr="00AE7311">
              <w:t>applying a broad range of problem-solving strategies</w:t>
            </w:r>
          </w:p>
          <w:p w:rsidR="00000000" w:rsidRPr="00AE7311" w:rsidP="00AE7311">
            <w:pPr>
              <w:pStyle w:val="ListBullet"/>
            </w:pPr>
            <w:r w:rsidRPr="00AE7311">
              <w:t>applying supply support knowledge</w:t>
            </w:r>
          </w:p>
          <w:p w:rsidR="00000000" w:rsidRPr="00AE7311" w:rsidP="00AE7311">
            <w:pPr>
              <w:pStyle w:val="ListBullet"/>
            </w:pPr>
            <w:r w:rsidRPr="00AE7311">
              <w:t>identifying potential solutions to problems or challenges to progress operat</w:t>
            </w:r>
            <w:r w:rsidRPr="00AE7311">
              <w:t>ions</w:t>
            </w:r>
          </w:p>
          <w:p w:rsidR="00000000" w:rsidRPr="00AE7311" w:rsidP="00AE7311">
            <w:pPr>
              <w:pStyle w:val="ListBullet"/>
            </w:pPr>
            <w:r w:rsidRPr="00AE7311">
              <w:t>interpreting instructions and applying information to actions and tasks</w:t>
            </w:r>
          </w:p>
          <w:p w:rsidR="00000000" w:rsidRPr="00AE7311" w:rsidP="00AE7311">
            <w:pPr>
              <w:pStyle w:val="ListBullet"/>
            </w:pPr>
            <w:r w:rsidRPr="00AE7311">
              <w:t>interpreting policies and procedures</w:t>
            </w:r>
          </w:p>
          <w:p w:rsidR="00000000" w:rsidRPr="00AE7311" w:rsidP="00AE7311">
            <w:pPr>
              <w:pStyle w:val="ListBullet"/>
            </w:pPr>
            <w:r w:rsidRPr="00AE7311">
              <w:t>making decisive, informed decisions that align with organisational requirements</w:t>
            </w:r>
          </w:p>
          <w:p w:rsidR="00000000" w:rsidRPr="00AE7311" w:rsidP="00AE7311">
            <w:pPr>
              <w:pStyle w:val="ListBullet"/>
            </w:pPr>
            <w:r w:rsidRPr="00AE7311">
              <w:t xml:space="preserve">managing own planning tasks in accordance with organisational </w:t>
            </w:r>
            <w:r w:rsidRPr="00AE7311">
              <w:t>requirements</w:t>
            </w:r>
          </w:p>
          <w:p w:rsidR="00000000" w:rsidRPr="00AE7311" w:rsidP="00AE7311">
            <w:pPr>
              <w:pStyle w:val="ListBullet"/>
            </w:pPr>
            <w:r w:rsidRPr="00AE7311">
              <w:t>managing stock levels and storage</w:t>
            </w:r>
          </w:p>
          <w:p w:rsidR="00000000" w:rsidRPr="00AE7311" w:rsidP="00AE7311">
            <w:pPr>
              <w:pStyle w:val="ListBullet"/>
            </w:pPr>
            <w:r w:rsidRPr="00AE7311">
              <w:t>preparing and issuing instructions that clearly communicate intent and operational tasks</w:t>
            </w:r>
          </w:p>
          <w:p w:rsidR="00000000" w:rsidRPr="00AE7311" w:rsidP="00AE7311">
            <w:pPr>
              <w:pStyle w:val="ListBullet"/>
            </w:pPr>
            <w:r w:rsidRPr="00AE7311">
              <w:t>using appropriate information technology and software.</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13" w:name="O_1269195"/>
      <w:bookmarkEnd w:id="13"/>
      <w:r w:rsidRPr="00AE7311">
        <w:t>Knowledge Evidence</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7311">
            <w:pPr>
              <w:pStyle w:val="BodyText"/>
              <w:rPr>
                <w:lang w:val="en-NZ"/>
              </w:rPr>
            </w:pPr>
            <w:r w:rsidRPr="00AE7311">
              <w:t>Evidence required to demonstrate competence in this unit must be relevant to and satisfy all the requirements of the elements and performance criteria and include knowledge of:</w:t>
            </w:r>
          </w:p>
        </w:tc>
      </w:tr>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ListBullet"/>
            </w:pPr>
            <w:r w:rsidRPr="00AE7311">
              <w:t>disposal processes</w:t>
            </w:r>
          </w:p>
          <w:p w:rsidR="00000000" w:rsidRPr="00AE7311" w:rsidP="00AE7311">
            <w:pPr>
              <w:pStyle w:val="ListBullet"/>
            </w:pPr>
            <w:r w:rsidRPr="00AE7311">
              <w:t>environmental considerations for providing supply support</w:t>
            </w:r>
          </w:p>
          <w:p w:rsidR="00000000" w:rsidRPr="00AE7311" w:rsidP="00AE7311">
            <w:pPr>
              <w:pStyle w:val="ListBullet"/>
            </w:pPr>
            <w:r w:rsidRPr="00AE7311">
              <w:t>financial delegation limits</w:t>
            </w:r>
          </w:p>
          <w:p w:rsidR="00000000" w:rsidRPr="00AE7311" w:rsidP="00AE7311">
            <w:pPr>
              <w:pStyle w:val="ListBullet"/>
            </w:pPr>
            <w:r w:rsidRPr="00AE7311">
              <w:t>implementation of logistics information systems processes</w:t>
            </w:r>
          </w:p>
          <w:p w:rsidR="00000000" w:rsidRPr="00AE7311" w:rsidP="00AE7311">
            <w:pPr>
              <w:pStyle w:val="ListBullet"/>
            </w:pPr>
            <w:r w:rsidRPr="00AE7311">
              <w:t>logistics support analysis principles and processes</w:t>
            </w:r>
          </w:p>
          <w:p w:rsidR="00000000" w:rsidRPr="00AE7311" w:rsidP="00AE7311">
            <w:pPr>
              <w:pStyle w:val="ListBullet"/>
            </w:pPr>
            <w:r w:rsidRPr="00AE7311">
              <w:t>logistics support concepts</w:t>
            </w:r>
          </w:p>
          <w:p w:rsidR="00000000" w:rsidRPr="00AE7311" w:rsidP="00AE7311">
            <w:pPr>
              <w:pStyle w:val="ListBullet"/>
            </w:pPr>
            <w:r w:rsidRPr="00AE7311">
              <w:t>organisation, its function and logistics support capabilities</w:t>
            </w:r>
          </w:p>
          <w:p w:rsidR="00000000" w:rsidRPr="00AE7311" w:rsidP="00AE7311">
            <w:pPr>
              <w:pStyle w:val="ListBullet"/>
            </w:pPr>
            <w:r w:rsidRPr="00AE7311">
              <w:t>organisational policy and pro</w:t>
            </w:r>
            <w:r w:rsidRPr="00AE7311">
              <w:t>cedures relevant to supply</w:t>
            </w:r>
          </w:p>
          <w:p w:rsidR="00000000" w:rsidRPr="00AE7311" w:rsidP="00AE7311">
            <w:pPr>
              <w:pStyle w:val="ListBullet"/>
            </w:pPr>
            <w:r w:rsidRPr="00AE7311">
              <w:t>organisational role relevant to specialist logistics support</w:t>
            </w:r>
          </w:p>
          <w:p w:rsidR="00000000" w:rsidRPr="00AE7311" w:rsidP="00AE7311">
            <w:pPr>
              <w:pStyle w:val="ListBullet"/>
            </w:pPr>
            <w:r w:rsidRPr="00AE7311">
              <w:t>organisational writing conventions</w:t>
            </w:r>
          </w:p>
          <w:p w:rsidR="00000000" w:rsidRPr="00AE7311" w:rsidP="00AE7311">
            <w:pPr>
              <w:pStyle w:val="ListBullet"/>
            </w:pPr>
            <w:r w:rsidRPr="00AE7311">
              <w:t>planning and sustainment processes</w:t>
            </w:r>
          </w:p>
          <w:p w:rsidR="00000000" w:rsidRPr="00AE7311" w:rsidP="00AE7311">
            <w:pPr>
              <w:pStyle w:val="ListBullet"/>
            </w:pPr>
            <w:r w:rsidRPr="00AE7311">
              <w:t>salvage, return and recycling processes for reducing waste</w:t>
            </w:r>
          </w:p>
          <w:p w:rsidR="00000000" w:rsidRPr="00AE7311" w:rsidP="00AE7311">
            <w:pPr>
              <w:pStyle w:val="ListBullet"/>
            </w:pPr>
            <w:r w:rsidRPr="00AE7311">
              <w:t>warehousing procedures for hazardous stocks, segregation, dispersion requirements and stock compatibility</w:t>
            </w:r>
          </w:p>
          <w:p w:rsidR="00000000" w:rsidRPr="00AE7311" w:rsidP="00AE7311">
            <w:pPr>
              <w:pStyle w:val="ListBullet"/>
            </w:pPr>
            <w:r w:rsidRPr="00AE7311">
              <w:t>warehousing procedures for receipts and issues</w:t>
            </w:r>
          </w:p>
          <w:p w:rsidR="00000000" w:rsidRPr="00AE7311" w:rsidP="00AE7311">
            <w:pPr>
              <w:pStyle w:val="ListBullet"/>
            </w:pPr>
            <w:r w:rsidRPr="00AE7311">
              <w:t>work, health and safety (WHS)/occupational health and safety (OHS) requirements.</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14" w:name="O_1269196"/>
      <w:bookmarkEnd w:id="14"/>
      <w:r w:rsidRPr="00AE7311">
        <w:t>A</w:t>
      </w:r>
      <w:r w:rsidRPr="00AE7311">
        <w:t>ssessment Conditions</w:t>
      </w:r>
    </w:p>
    <w:tbl>
      <w:tblPr>
        <w:tblW w:w="9497" w:type="dxa"/>
        <w:tblLayout w:type="fixed"/>
        <w:tblCellMar>
          <w:left w:w="62" w:type="dxa"/>
          <w:right w:w="62" w:type="dxa"/>
        </w:tblCellMar>
        <w:tblLook w:val="0000"/>
      </w:tblPr>
      <w:tblGrid>
        <w:gridCol w:w="9497"/>
      </w:tblGrid>
      <w:tr w:rsidTr="00AE7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311" w:rsidP="00AE7311">
            <w:pPr>
              <w:pStyle w:val="BodyText"/>
            </w:pPr>
            <w:r w:rsidRPr="00AE7311">
              <w:t xml:space="preserve">Assessors must hold credentials specified within the Standards for Registered Training Organisations current at the time of assessment. </w:t>
            </w:r>
          </w:p>
          <w:p w:rsidR="00000000" w:rsidRPr="00AE7311" w:rsidP="00AE7311">
            <w:pPr>
              <w:pStyle w:val="BodyText"/>
            </w:pPr>
            <w:r w:rsidRPr="00AE7311">
              <w:t>Assessment must satisfy the Principles of Assessment and Rules of Evidence and all regulatory requ</w:t>
            </w:r>
            <w:r w:rsidRPr="00AE7311">
              <w:t>irements included within the Standards for Registered Training Organisations current at the time of assessment.</w:t>
            </w:r>
          </w:p>
          <w:p w:rsidR="00000000" w:rsidRPr="00AE7311" w:rsidP="00AE7311">
            <w:pPr>
              <w:pStyle w:val="BodyText"/>
            </w:pPr>
            <w:r w:rsidRPr="00AE7311">
              <w:t>Assessment must occur in workplace operational situations where it is appropriate to do so; where this is not appropriate, assessment must occur</w:t>
            </w:r>
            <w:r w:rsidRPr="00AE7311">
              <w:t xml:space="preserve"> in simulated workplace operational situations that replicate workplace conditions.</w:t>
            </w:r>
          </w:p>
          <w:p w:rsidR="00000000" w:rsidRPr="00AE7311" w:rsidP="00AE7311">
            <w:pPr>
              <w:pStyle w:val="BodyText"/>
            </w:pPr>
            <w:r w:rsidRPr="00AE7311">
              <w:t>Assessment processes and techniques must be appropriate to the language, literacy and numeracy requirements of the work being performed and the needs of the candidate.</w:t>
            </w:r>
          </w:p>
          <w:p w:rsidR="00000000" w:rsidRPr="00AE7311" w:rsidP="00AE7311">
            <w:pPr>
              <w:pStyle w:val="BodyText"/>
            </w:pPr>
            <w:r w:rsidRPr="00AE7311">
              <w:t>Reso</w:t>
            </w:r>
            <w:r w:rsidRPr="00AE7311">
              <w:t>urces for assessment must include access to:</w:t>
            </w:r>
          </w:p>
          <w:p w:rsidR="00000000" w:rsidRPr="00AE7311" w:rsidP="00AE7311">
            <w:pPr>
              <w:pStyle w:val="ListBullet"/>
            </w:pPr>
            <w:r w:rsidRPr="00AE7311">
              <w:t>relevant and appropriate materials, tools, equipment and personal protective equipment currently used in industry</w:t>
            </w:r>
          </w:p>
          <w:p w:rsidR="00000000" w:rsidRPr="00AE7311" w:rsidP="00AE7311">
            <w:pPr>
              <w:pStyle w:val="ListBullet"/>
            </w:pPr>
            <w:r w:rsidRPr="00AE7311">
              <w:t>applicable documentation incl</w:t>
            </w:r>
            <w:r w:rsidRPr="00AE7311">
              <w:t>uding legislation, regulations, codes of practice, workplace procedures and operation manuals.</w:t>
            </w:r>
          </w:p>
        </w:tc>
      </w:tr>
    </w:tbl>
    <w:p w:rsidR="00000000" w:rsidRPr="00AE7311" w:rsidP="00AE7311">
      <w:pPr>
        <w:pStyle w:val="NoPaddingFontSize1"/>
      </w:pPr>
    </w:p>
    <w:p w:rsidR="00000000" w:rsidRPr="00AE7311" w:rsidP="00AE7311">
      <w:pPr>
        <w:pStyle w:val="AllowPageBreak"/>
      </w:pPr>
    </w:p>
    <w:p w:rsidR="00000000" w:rsidRPr="00AE7311" w:rsidP="00AE7311">
      <w:pPr>
        <w:pStyle w:val="Heading1"/>
      </w:pPr>
      <w:bookmarkStart w:id="15" w:name="O_1269203"/>
      <w:bookmarkEnd w:id="15"/>
      <w:r w:rsidRPr="00AE7311">
        <w:t>Links</w:t>
      </w:r>
    </w:p>
    <w:p w:rsidR="00000000" w:rsidRPr="00AE7311" w:rsidP="007F070C">
      <w:pPr>
        <w:pStyle w:val="BodyText"/>
      </w:pPr>
      <w:r w:rsidRPr="00AE731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0BC4">
        <w:rPr>
          <w:rStyle w:val="Hyperlink"/>
        </w:rPr>
        <w:t>https://vetnet.gov.au/Pages/TrainingDocs.aspx?q=df441c6e-213d-43e3-874c-0b3f7036d851</w:t>
      </w:r>
      <w:r>
        <w:fldChar w:fldCharType="end"/>
      </w:r>
    </w:p>
    <w:p w:rsidR="00000000" w:rsidRPr="00AE7311" w:rsidP="00AE7311"/>
    <w:sectPr w:rsidSect="00AE73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11" w:rsidRPr="007F070C" w:rsidP="007F0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0C" w:rsidP="00AE7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070C" w:rsidP="00AE73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F070C" w:rsidP="00AE73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11" w:rsidP="00AE7311">
    <w:pPr>
      <w:pStyle w:val="Footer"/>
      <w:framePr w:wrap="around"/>
    </w:pPr>
    <w:r>
      <w:fldChar w:fldCharType="begin"/>
    </w:r>
    <w:r>
      <w:instrText xml:space="preserve"> DOCPROPERTY  Subject  \* MERGEFORMAT </w:instrText>
    </w:r>
    <w:r>
      <w:fldChar w:fldCharType="separate"/>
    </w:r>
    <w:r w:rsidR="007F070C">
      <w:t>Approved</w:t>
    </w:r>
    <w:r w:rsidR="007F070C">
      <w:fldChar w:fldCharType="end"/>
    </w:r>
    <w:r>
      <w:tab/>
      <w:t xml:space="preserve">Page </w:t>
    </w:r>
    <w:r>
      <w:fldChar w:fldCharType="begin"/>
    </w:r>
    <w:r>
      <w:instrText xml:space="preserve"> PAGE  \* Arabic  \* MERGEFORMAT </w:instrText>
    </w:r>
    <w:r>
      <w:fldChar w:fldCharType="separate"/>
    </w:r>
    <w:r w:rsidR="007F07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70C">
      <w:rPr>
        <w:noProof/>
      </w:rPr>
      <w:t>5</w:t>
    </w:r>
    <w:r>
      <w:rPr>
        <w:noProof/>
      </w:rPr>
      <w:fldChar w:fldCharType="end"/>
    </w:r>
  </w:p>
  <w:p w:rsidR="00AE7311" w:rsidP="00AE7311">
    <w:pPr>
      <w:pStyle w:val="Footer"/>
      <w:framePr w:wrap="around"/>
    </w:pPr>
    <w:r>
      <w:t xml:space="preserve">© Commonwealth of Australia, </w:t>
    </w:r>
    <w:r>
      <w:fldChar w:fldCharType="begin"/>
    </w:r>
    <w:r>
      <w:instrText xml:space="preserve"> DATE  \@ "yyyy"  \* MERGEFORMAT </w:instrText>
    </w:r>
    <w:r>
      <w:fldChar w:fldCharType="separate"/>
    </w:r>
    <w:r w:rsidR="007F070C">
      <w:rPr>
        <w:noProof/>
      </w:rPr>
      <w:t>2025</w:t>
    </w:r>
    <w:r>
      <w:fldChar w:fldCharType="end"/>
    </w:r>
    <w:r>
      <w:tab/>
    </w:r>
    <w:r>
      <w:fldChar w:fldCharType="begin"/>
    </w:r>
    <w:r>
      <w:instrText xml:space="preserve"> DOCPROPERTY  Author  \* MERGEFORMAT </w:instrText>
    </w:r>
    <w:r>
      <w:fldChar w:fldCharType="separate"/>
    </w:r>
    <w:r w:rsidR="007F070C">
      <w:t>Industry Skills Australia</w:t>
    </w:r>
    <w:r w:rsidR="007F070C">
      <w:fldChar w:fldCharType="end"/>
    </w:r>
  </w:p>
  <w:p w:rsidR="00AE7311" w:rsidP="00AE7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311" w:rsidRPr="007F070C" w:rsidP="007F07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0C" w:rsidRPr="002D2AF8" w:rsidP="00AE7311">
    <w:pPr>
      <w:pStyle w:val="Header"/>
      <w:framePr w:wrap="around"/>
    </w:pPr>
    <w:r>
      <w:fldChar w:fldCharType="begin"/>
    </w:r>
    <w:r>
      <w:instrText xml:space="preserve"> TITLE   \* MERGEFORMAT </w:instrText>
    </w:r>
    <w:r>
      <w:fldChar w:fldCharType="separate"/>
    </w:r>
    <w:r>
      <w:t>TLIX0073 Organise supply support on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070C" w:rsidP="00AE73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11" w:rsidRPr="002D2AF8" w:rsidP="00AE7311">
    <w:pPr>
      <w:pStyle w:val="Header"/>
      <w:framePr w:wrap="around"/>
    </w:pPr>
    <w:r>
      <w:fldChar w:fldCharType="begin"/>
    </w:r>
    <w:r>
      <w:instrText xml:space="preserve"> TITLE   \* MERGEFORMAT </w:instrText>
    </w:r>
    <w:r>
      <w:fldChar w:fldCharType="separate"/>
    </w:r>
    <w:r w:rsidR="007F070C">
      <w:t>TLIX0073 Organise supply support on deployment</w:t>
    </w:r>
    <w:r w:rsidR="007F070C">
      <w:fldChar w:fldCharType="end"/>
    </w:r>
    <w:r>
      <w:tab/>
      <w:t xml:space="preserve">Date this document was generated: </w:t>
    </w:r>
    <w:r>
      <w:fldChar w:fldCharType="begin"/>
    </w:r>
    <w:r>
      <w:instrText xml:space="preserve"> CREATEDATE  \@ "d MMMM yyyy"  \* MERGEFORMAT </w:instrText>
    </w:r>
    <w:r>
      <w:fldChar w:fldCharType="separate"/>
    </w:r>
    <w:r w:rsidR="007F070C">
      <w:rPr>
        <w:noProof/>
      </w:rPr>
      <w:t>2 March 2025</w:t>
    </w:r>
    <w:r>
      <w:fldChar w:fldCharType="end"/>
    </w:r>
  </w:p>
  <w:p w:rsidR="00AE7311" w:rsidP="00AE7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3CD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A8B8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311"/>
    <w:pPr>
      <w:spacing w:before="360" w:after="60"/>
      <w:outlineLvl w:val="0"/>
    </w:pPr>
    <w:rPr>
      <w:sz w:val="32"/>
    </w:rPr>
  </w:style>
  <w:style w:type="paragraph" w:styleId="Heading2">
    <w:name w:val="heading 2"/>
    <w:basedOn w:val="HeadingBase"/>
    <w:next w:val="BodyText"/>
    <w:link w:val="Heading2Char"/>
    <w:qFormat/>
    <w:rsid w:val="00AE7311"/>
    <w:pPr>
      <w:keepLines/>
      <w:spacing w:before="240" w:after="120"/>
      <w:outlineLvl w:val="1"/>
    </w:pPr>
    <w:rPr>
      <w:sz w:val="28"/>
      <w:szCs w:val="40"/>
    </w:rPr>
  </w:style>
  <w:style w:type="paragraph" w:styleId="Heading3">
    <w:name w:val="heading 3"/>
    <w:basedOn w:val="HeadingBase"/>
    <w:next w:val="BodyText"/>
    <w:link w:val="Heading3Char"/>
    <w:qFormat/>
    <w:rsid w:val="00AE7311"/>
    <w:pPr>
      <w:spacing w:before="180" w:after="120"/>
      <w:outlineLvl w:val="2"/>
    </w:pPr>
    <w:rPr>
      <w:spacing w:val="-10"/>
      <w:kern w:val="32"/>
    </w:rPr>
  </w:style>
  <w:style w:type="paragraph" w:styleId="Heading4">
    <w:name w:val="heading 4"/>
    <w:basedOn w:val="HeadingBase"/>
    <w:next w:val="BodyText"/>
    <w:link w:val="Heading4Char"/>
    <w:qFormat/>
    <w:rsid w:val="00AE7311"/>
    <w:pPr>
      <w:spacing w:before="160" w:after="120"/>
      <w:outlineLvl w:val="3"/>
    </w:pPr>
    <w:rPr>
      <w:sz w:val="22"/>
    </w:rPr>
  </w:style>
  <w:style w:type="paragraph" w:styleId="Heading5">
    <w:name w:val="heading 5"/>
    <w:basedOn w:val="HeadingBase"/>
    <w:next w:val="Normal"/>
    <w:link w:val="Heading5Char"/>
    <w:qFormat/>
    <w:rsid w:val="00AE7311"/>
    <w:pPr>
      <w:spacing w:before="80"/>
      <w:outlineLvl w:val="4"/>
    </w:pPr>
    <w:rPr>
      <w:color w:val="918585"/>
      <w:sz w:val="20"/>
    </w:rPr>
  </w:style>
  <w:style w:type="paragraph" w:styleId="Heading6">
    <w:name w:val="heading 6"/>
    <w:basedOn w:val="HeadingBase"/>
    <w:next w:val="Normal"/>
    <w:link w:val="Heading6Char"/>
    <w:qFormat/>
    <w:rsid w:val="00AE7311"/>
    <w:pPr>
      <w:spacing w:before="60"/>
      <w:outlineLvl w:val="5"/>
    </w:pPr>
    <w:rPr>
      <w:color w:val="918585"/>
      <w:sz w:val="20"/>
    </w:rPr>
  </w:style>
  <w:style w:type="paragraph" w:styleId="Heading7">
    <w:name w:val="heading 7"/>
    <w:basedOn w:val="Normal"/>
    <w:next w:val="Normal"/>
    <w:link w:val="Heading7Char"/>
    <w:qFormat/>
    <w:rsid w:val="00AE7311"/>
    <w:pPr>
      <w:ind w:left="720"/>
      <w:outlineLvl w:val="6"/>
    </w:pPr>
    <w:rPr>
      <w:i/>
    </w:rPr>
  </w:style>
  <w:style w:type="paragraph" w:styleId="Heading8">
    <w:name w:val="heading 8"/>
    <w:basedOn w:val="Normal"/>
    <w:next w:val="Normal"/>
    <w:link w:val="Heading8Char"/>
    <w:qFormat/>
    <w:rsid w:val="00AE7311"/>
    <w:pPr>
      <w:ind w:left="720"/>
      <w:outlineLvl w:val="7"/>
    </w:pPr>
    <w:rPr>
      <w:i/>
    </w:rPr>
  </w:style>
  <w:style w:type="paragraph" w:styleId="Heading9">
    <w:name w:val="heading 9"/>
    <w:basedOn w:val="Normal"/>
    <w:next w:val="Normal"/>
    <w:link w:val="Heading9Char"/>
    <w:qFormat/>
    <w:rsid w:val="00AE7311"/>
    <w:pPr>
      <w:ind w:left="720"/>
      <w:outlineLvl w:val="8"/>
    </w:pPr>
    <w:rPr>
      <w:i/>
    </w:rPr>
  </w:style>
  <w:style w:type="character" w:default="1" w:styleId="DefaultParagraphFont">
    <w:name w:val="Default Paragraph Font"/>
    <w:uiPriority w:val="1"/>
    <w:unhideWhenUsed/>
    <w:rsid w:val="00AE7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311"/>
  </w:style>
  <w:style w:type="character" w:customStyle="1" w:styleId="Heading1Char">
    <w:name w:val="Heading 1 Char"/>
    <w:basedOn w:val="DefaultParagraphFont"/>
    <w:link w:val="Heading1"/>
    <w:rsid w:val="00AE7311"/>
    <w:rPr>
      <w:rFonts w:ascii="Times New Roman" w:eastAsia="Times New Roman" w:hAnsi="Times New Roman" w:cs="Times New Roman"/>
      <w:b/>
      <w:sz w:val="32"/>
      <w:szCs w:val="20"/>
      <w:lang w:eastAsia="en-US"/>
    </w:rPr>
  </w:style>
  <w:style w:type="paragraph" w:styleId="BodyText">
    <w:name w:val="Body Text"/>
    <w:basedOn w:val="Normal"/>
    <w:link w:val="BodyTextChar"/>
    <w:rsid w:val="00AE7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311"/>
    <w:rPr>
      <w:rFonts w:ascii="Times New Roman" w:eastAsia="Times New Roman" w:hAnsi="Times New Roman" w:cs="Times New Roman"/>
      <w:sz w:val="24"/>
      <w:lang w:eastAsia="en-US"/>
    </w:rPr>
  </w:style>
  <w:style w:type="paragraph" w:styleId="ListBullet">
    <w:name w:val="List Bullet"/>
    <w:basedOn w:val="List"/>
    <w:rsid w:val="00AE7311"/>
    <w:pPr>
      <w:numPr>
        <w:numId w:val="11"/>
      </w:numPr>
      <w:tabs>
        <w:tab w:val="clear" w:pos="340"/>
      </w:tabs>
      <w:spacing w:before="40" w:after="40"/>
    </w:pPr>
  </w:style>
  <w:style w:type="character" w:customStyle="1" w:styleId="SpecialBold">
    <w:name w:val="Special Bold"/>
    <w:basedOn w:val="DefaultParagraphFont"/>
    <w:rsid w:val="00AE7311"/>
    <w:rPr>
      <w:b/>
      <w:spacing w:val="0"/>
    </w:rPr>
  </w:style>
  <w:style w:type="paragraph" w:customStyle="1" w:styleId="SuperHeading">
    <w:name w:val="SuperHeading"/>
    <w:basedOn w:val="Normal"/>
    <w:rsid w:val="00AE7311"/>
    <w:pPr>
      <w:spacing w:before="240" w:after="120"/>
      <w:outlineLvl w:val="0"/>
    </w:pPr>
    <w:rPr>
      <w:rFonts w:ascii="Times New Roman" w:hAnsi="Times New Roman"/>
      <w:b/>
      <w:sz w:val="32"/>
    </w:rPr>
  </w:style>
  <w:style w:type="paragraph" w:customStyle="1" w:styleId="AllowPageBreak">
    <w:name w:val="AllowPageBreak"/>
    <w:rsid w:val="00AE73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7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311"/>
    <w:rPr>
      <w:rFonts w:ascii="Courier New" w:eastAsia="Times New Roman" w:hAnsi="Courier New" w:cs="Times New Roman"/>
      <w:i/>
      <w:szCs w:val="20"/>
      <w:lang w:eastAsia="en-US"/>
    </w:rPr>
  </w:style>
  <w:style w:type="paragraph" w:customStyle="1" w:styleId="HeadingBase">
    <w:name w:val="Heading Base"/>
    <w:rsid w:val="00AE7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311"/>
    <w:pPr>
      <w:tabs>
        <w:tab w:val="right" w:leader="dot" w:pos="9072"/>
      </w:tabs>
      <w:ind w:left="567"/>
    </w:pPr>
    <w:rPr>
      <w:szCs w:val="22"/>
    </w:rPr>
  </w:style>
  <w:style w:type="paragraph" w:customStyle="1" w:styleId="TOCBase">
    <w:name w:val="TOC Base"/>
    <w:rsid w:val="00AE7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311"/>
    <w:pPr>
      <w:tabs>
        <w:tab w:val="right" w:leader="dot" w:pos="9072"/>
      </w:tabs>
      <w:spacing w:before="40" w:after="40"/>
      <w:ind w:left="284"/>
    </w:pPr>
    <w:rPr>
      <w:rFonts w:ascii="Times New Roman" w:hAnsi="Times New Roman"/>
    </w:rPr>
  </w:style>
  <w:style w:type="paragraph" w:styleId="TOC1">
    <w:name w:val="toc 1"/>
    <w:basedOn w:val="TOCBase"/>
    <w:next w:val="Normal"/>
    <w:rsid w:val="00AE7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311"/>
    <w:rPr>
      <w:rFonts w:ascii="Times New Roman" w:eastAsia="Times New Roman" w:hAnsi="Times New Roman" w:cs="Times New Roman"/>
      <w:sz w:val="16"/>
      <w:lang w:eastAsia="en-US"/>
    </w:rPr>
  </w:style>
  <w:style w:type="paragraph" w:styleId="Title">
    <w:name w:val="Title"/>
    <w:basedOn w:val="HeadingBase"/>
    <w:link w:val="TitleChar"/>
    <w:qFormat/>
    <w:rsid w:val="00AE7311"/>
    <w:pPr>
      <w:spacing w:before="5040"/>
      <w:jc w:val="center"/>
    </w:pPr>
    <w:rPr>
      <w:sz w:val="48"/>
      <w:szCs w:val="72"/>
      <w:lang w:val="en-US"/>
    </w:rPr>
  </w:style>
  <w:style w:type="character" w:customStyle="1" w:styleId="TitleChar">
    <w:name w:val="Title Char"/>
    <w:basedOn w:val="DefaultParagraphFont"/>
    <w:link w:val="Title"/>
    <w:rsid w:val="00AE7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311"/>
    <w:pPr>
      <w:tabs>
        <w:tab w:val="left" w:pos="3600"/>
        <w:tab w:val="left" w:pos="3958"/>
      </w:tabs>
    </w:pPr>
  </w:style>
  <w:style w:type="paragraph" w:styleId="List">
    <w:name w:val="List"/>
    <w:basedOn w:val="BodyText"/>
    <w:next w:val="BodyText"/>
    <w:rsid w:val="00AE7311"/>
    <w:pPr>
      <w:tabs>
        <w:tab w:val="left" w:pos="340"/>
      </w:tabs>
      <w:spacing w:before="60" w:after="60"/>
      <w:ind w:left="340" w:hanging="340"/>
    </w:pPr>
  </w:style>
  <w:style w:type="paragraph" w:customStyle="1" w:styleId="Note">
    <w:name w:val="Note"/>
    <w:basedOn w:val="BodyText"/>
    <w:rsid w:val="00AE7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311"/>
    <w:pPr>
      <w:framePr w:wrap="auto" w:hAnchor="text" w:y="6049"/>
    </w:pPr>
    <w:rPr>
      <w:color w:val="000000"/>
      <w:sz w:val="40"/>
    </w:rPr>
  </w:style>
  <w:style w:type="paragraph" w:customStyle="1" w:styleId="TOCTitle">
    <w:name w:val="TOCTitle"/>
    <w:basedOn w:val="Heading1"/>
    <w:rsid w:val="00AE7311"/>
    <w:pPr>
      <w:spacing w:after="240"/>
      <w:jc w:val="center"/>
      <w:outlineLvl w:val="9"/>
    </w:pPr>
    <w:rPr>
      <w:caps/>
    </w:rPr>
  </w:style>
  <w:style w:type="paragraph" w:customStyle="1" w:styleId="Version">
    <w:name w:val="Version"/>
    <w:rsid w:val="00AE73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311"/>
    <w:pPr>
      <w:numPr>
        <w:numId w:val="12"/>
      </w:numPr>
      <w:tabs>
        <w:tab w:val="clear" w:pos="680"/>
      </w:tabs>
    </w:pPr>
  </w:style>
  <w:style w:type="paragraph" w:styleId="Index1">
    <w:name w:val="index 1"/>
    <w:basedOn w:val="Normal"/>
    <w:next w:val="Normal"/>
    <w:semiHidden/>
    <w:rsid w:val="00AE7311"/>
    <w:pPr>
      <w:keepNext w:val="0"/>
      <w:tabs>
        <w:tab w:val="right" w:pos="4176"/>
      </w:tabs>
      <w:ind w:left="198" w:hanging="198"/>
    </w:pPr>
    <w:rPr>
      <w:rFonts w:ascii="Garamond" w:hAnsi="Garamond"/>
    </w:rPr>
  </w:style>
  <w:style w:type="paragraph" w:styleId="IndexHeading">
    <w:name w:val="index heading"/>
    <w:basedOn w:val="Normal"/>
    <w:next w:val="Index1"/>
    <w:semiHidden/>
    <w:rsid w:val="00AE7311"/>
    <w:pPr>
      <w:spacing w:before="120" w:after="120"/>
    </w:pPr>
    <w:rPr>
      <w:rFonts w:ascii="Arial" w:hAnsi="Arial"/>
      <w:b/>
      <w:color w:val="918585"/>
      <w:sz w:val="24"/>
    </w:rPr>
  </w:style>
  <w:style w:type="paragraph" w:styleId="Header">
    <w:name w:val="header"/>
    <w:basedOn w:val="Normal"/>
    <w:link w:val="HeaderChar"/>
    <w:rsid w:val="00AE7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311"/>
    <w:rPr>
      <w:rFonts w:ascii="Times New Roman" w:eastAsia="Times New Roman" w:hAnsi="Times New Roman" w:cs="Times New Roman"/>
      <w:sz w:val="16"/>
      <w:szCs w:val="20"/>
      <w:lang w:val="en-GB" w:eastAsia="en-US"/>
    </w:rPr>
  </w:style>
  <w:style w:type="paragraph" w:customStyle="1" w:styleId="Chapter">
    <w:name w:val="Chapter"/>
    <w:basedOn w:val="Normal"/>
    <w:rsid w:val="00AE7311"/>
    <w:pPr>
      <w:spacing w:before="240"/>
    </w:pPr>
    <w:rPr>
      <w:rFonts w:ascii="Times New Roman" w:hAnsi="Times New Roman"/>
      <w:smallCaps/>
      <w:spacing w:val="80"/>
      <w:sz w:val="28"/>
    </w:rPr>
  </w:style>
  <w:style w:type="paragraph" w:customStyle="1" w:styleId="InChapter">
    <w:name w:val="InChapter"/>
    <w:basedOn w:val="Heading3"/>
    <w:rsid w:val="00AE7311"/>
    <w:pPr>
      <w:spacing w:after="240"/>
      <w:outlineLvl w:val="9"/>
    </w:pPr>
    <w:rPr>
      <w:noProof/>
    </w:rPr>
  </w:style>
  <w:style w:type="paragraph" w:styleId="Index2">
    <w:name w:val="index 2"/>
    <w:basedOn w:val="Normal"/>
    <w:next w:val="Normal"/>
    <w:semiHidden/>
    <w:rsid w:val="00AE7311"/>
    <w:pPr>
      <w:tabs>
        <w:tab w:val="right" w:pos="4176"/>
      </w:tabs>
      <w:ind w:left="568" w:hanging="284"/>
    </w:pPr>
    <w:rPr>
      <w:rFonts w:ascii="Garamond" w:hAnsi="Garamond"/>
    </w:rPr>
  </w:style>
  <w:style w:type="paragraph" w:customStyle="1" w:styleId="Byline">
    <w:name w:val="Byline"/>
    <w:rsid w:val="00AE7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311"/>
    <w:pPr>
      <w:tabs>
        <w:tab w:val="clear" w:pos="3600"/>
        <w:tab w:val="clear" w:pos="3958"/>
      </w:tabs>
      <w:jc w:val="right"/>
    </w:pPr>
  </w:style>
  <w:style w:type="character" w:styleId="Emphasis">
    <w:name w:val="Emphasis"/>
    <w:basedOn w:val="DefaultParagraphFont"/>
    <w:qFormat/>
    <w:rsid w:val="00AE7311"/>
    <w:rPr>
      <w:i/>
    </w:rPr>
  </w:style>
  <w:style w:type="paragraph" w:styleId="Caption">
    <w:name w:val="caption"/>
    <w:basedOn w:val="BodyText"/>
    <w:next w:val="Normal"/>
    <w:qFormat/>
    <w:rsid w:val="00AE7311"/>
    <w:pPr>
      <w:framePr w:w="2268" w:hSpace="181" w:vSpace="181" w:wrap="around" w:vAnchor="text" w:hAnchor="page" w:x="1135" w:y="285" w:anchorLock="1"/>
    </w:pPr>
    <w:rPr>
      <w:i/>
    </w:rPr>
  </w:style>
  <w:style w:type="paragraph" w:customStyle="1" w:styleId="MiniTOCTitle">
    <w:name w:val="MiniTOCTitle"/>
    <w:basedOn w:val="Heading4"/>
    <w:rsid w:val="00AE7311"/>
    <w:pPr>
      <w:spacing w:before="240"/>
      <w:outlineLvl w:val="9"/>
    </w:pPr>
    <w:rPr>
      <w:noProof/>
      <w:sz w:val="24"/>
    </w:rPr>
  </w:style>
  <w:style w:type="paragraph" w:customStyle="1" w:styleId="MiniTOCItem">
    <w:name w:val="MiniTOCItem"/>
    <w:basedOn w:val="ListBullet"/>
    <w:rsid w:val="00AE7311"/>
    <w:pPr>
      <w:numPr>
        <w:numId w:val="0"/>
      </w:numPr>
      <w:tabs>
        <w:tab w:val="right" w:leader="dot" w:pos="6521"/>
      </w:tabs>
      <w:spacing w:before="0" w:after="0"/>
    </w:pPr>
  </w:style>
  <w:style w:type="paragraph" w:customStyle="1" w:styleId="TOFTitle">
    <w:name w:val="TOFTitle"/>
    <w:basedOn w:val="TOCTitle"/>
    <w:rsid w:val="00AE7311"/>
  </w:style>
  <w:style w:type="paragraph" w:styleId="TableofFigures">
    <w:name w:val="table of figures"/>
    <w:basedOn w:val="Normal"/>
    <w:next w:val="Normal"/>
    <w:semiHidden/>
    <w:rsid w:val="00AE7311"/>
    <w:pPr>
      <w:tabs>
        <w:tab w:val="right" w:leader="dot" w:pos="9072"/>
      </w:tabs>
      <w:ind w:left="970" w:hanging="403"/>
    </w:pPr>
    <w:rPr>
      <w:rFonts w:ascii="Times New Roman" w:hAnsi="Times New Roman"/>
      <w:b/>
    </w:rPr>
  </w:style>
  <w:style w:type="paragraph" w:styleId="ListNumber">
    <w:name w:val="List Number"/>
    <w:basedOn w:val="List"/>
    <w:rsid w:val="00AE7311"/>
    <w:pPr>
      <w:numPr>
        <w:numId w:val="14"/>
      </w:numPr>
      <w:tabs>
        <w:tab w:val="clear" w:pos="340"/>
      </w:tabs>
    </w:pPr>
  </w:style>
  <w:style w:type="character" w:customStyle="1" w:styleId="WingdingSymbols">
    <w:name w:val="Wingding Symbols"/>
    <w:rsid w:val="00AE7311"/>
    <w:rPr>
      <w:rFonts w:ascii="Wingdings" w:hAnsi="Wingdings"/>
    </w:rPr>
  </w:style>
  <w:style w:type="paragraph" w:customStyle="1" w:styleId="TableHeading">
    <w:name w:val="Table Heading"/>
    <w:basedOn w:val="HeadingBase"/>
    <w:rsid w:val="00AE7311"/>
    <w:pPr>
      <w:keepLines/>
      <w:pBdr>
        <w:bottom w:val="single" w:sz="6" w:space="1" w:color="918585"/>
      </w:pBdr>
      <w:spacing w:before="240"/>
    </w:pPr>
  </w:style>
  <w:style w:type="character" w:customStyle="1" w:styleId="HotSpot">
    <w:name w:val="HotSpot"/>
    <w:rsid w:val="00AE7311"/>
    <w:rPr>
      <w:color w:val="0033CC"/>
      <w:u w:val="none"/>
    </w:rPr>
  </w:style>
  <w:style w:type="paragraph" w:customStyle="1" w:styleId="BodyTextRight">
    <w:name w:val="Body Text Right"/>
    <w:basedOn w:val="BodyText"/>
    <w:rsid w:val="00AE7311"/>
    <w:pPr>
      <w:spacing w:before="0" w:after="0"/>
      <w:jc w:val="right"/>
    </w:pPr>
  </w:style>
  <w:style w:type="paragraph" w:styleId="Index3">
    <w:name w:val="index 3"/>
    <w:basedOn w:val="ListNumber2"/>
    <w:next w:val="Normal"/>
    <w:semiHidden/>
    <w:rsid w:val="00AE7311"/>
    <w:pPr>
      <w:numPr>
        <w:numId w:val="0"/>
      </w:numPr>
      <w:tabs>
        <w:tab w:val="right" w:leader="dot" w:pos="4176"/>
      </w:tabs>
    </w:pPr>
  </w:style>
  <w:style w:type="paragraph" w:styleId="ListNumber2">
    <w:name w:val="List Number 2"/>
    <w:basedOn w:val="List2"/>
    <w:rsid w:val="00AE7311"/>
    <w:pPr>
      <w:numPr>
        <w:numId w:val="9"/>
      </w:numPr>
      <w:tabs>
        <w:tab w:val="clear" w:pos="1060"/>
      </w:tabs>
    </w:pPr>
  </w:style>
  <w:style w:type="paragraph" w:customStyle="1" w:styleId="MarginNote">
    <w:name w:val="Margin Note"/>
    <w:basedOn w:val="BodyText"/>
    <w:rsid w:val="00AE7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311"/>
    <w:rPr>
      <w:sz w:val="32"/>
    </w:rPr>
  </w:style>
  <w:style w:type="paragraph" w:customStyle="1" w:styleId="HeadingProcedure">
    <w:name w:val="Heading Procedure"/>
    <w:basedOn w:val="HeadingBase"/>
    <w:next w:val="Normal"/>
    <w:rsid w:val="00AE7311"/>
    <w:pPr>
      <w:tabs>
        <w:tab w:val="left" w:pos="0"/>
      </w:tabs>
      <w:spacing w:before="120" w:after="60"/>
    </w:pPr>
    <w:rPr>
      <w:i/>
      <w:color w:val="918585"/>
      <w:sz w:val="22"/>
    </w:rPr>
  </w:style>
  <w:style w:type="paragraph" w:customStyle="1" w:styleId="TableBodyText">
    <w:name w:val="Table Body Text"/>
    <w:basedOn w:val="BodyText"/>
    <w:rsid w:val="00AE7311"/>
    <w:pPr>
      <w:spacing w:before="60" w:after="60"/>
    </w:pPr>
  </w:style>
  <w:style w:type="paragraph" w:styleId="ListContinue">
    <w:name w:val="List Continue"/>
    <w:basedOn w:val="List"/>
    <w:rsid w:val="00AE7311"/>
    <w:pPr>
      <w:ind w:firstLine="0"/>
    </w:pPr>
  </w:style>
  <w:style w:type="paragraph" w:customStyle="1" w:styleId="ListNote">
    <w:name w:val="List Note"/>
    <w:basedOn w:val="List"/>
    <w:rsid w:val="00AE7311"/>
    <w:pPr>
      <w:pBdr>
        <w:top w:val="single" w:sz="6" w:space="2" w:color="918585"/>
        <w:bottom w:val="single" w:sz="6" w:space="2" w:color="918585"/>
      </w:pBdr>
      <w:tabs>
        <w:tab w:val="left" w:pos="1021"/>
      </w:tabs>
      <w:ind w:firstLine="0"/>
    </w:pPr>
  </w:style>
  <w:style w:type="paragraph" w:customStyle="1" w:styleId="Warning">
    <w:name w:val="Warning"/>
    <w:basedOn w:val="BodyText"/>
    <w:rsid w:val="00AE7311"/>
    <w:pPr>
      <w:shd w:val="clear" w:color="auto" w:fill="D9D9D9"/>
      <w:tabs>
        <w:tab w:val="left" w:pos="992"/>
      </w:tabs>
      <w:ind w:left="119" w:right="119"/>
    </w:pPr>
    <w:rPr>
      <w:sz w:val="20"/>
    </w:rPr>
  </w:style>
  <w:style w:type="paragraph" w:customStyle="1" w:styleId="MarginIcons">
    <w:name w:val="Margin Icons"/>
    <w:basedOn w:val="BodyText"/>
    <w:rsid w:val="00AE7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311"/>
    <w:rPr>
      <w:rFonts w:ascii="Courier New" w:hAnsi="Courier New"/>
    </w:rPr>
  </w:style>
  <w:style w:type="paragraph" w:customStyle="1" w:styleId="NoteBullet">
    <w:name w:val="Note Bullet"/>
    <w:basedOn w:val="Note"/>
    <w:rsid w:val="00AE7311"/>
    <w:pPr>
      <w:tabs>
        <w:tab w:val="clear" w:pos="680"/>
      </w:tabs>
      <w:spacing w:before="60" w:after="60"/>
    </w:pPr>
  </w:style>
  <w:style w:type="paragraph" w:customStyle="1" w:styleId="SubHeading2">
    <w:name w:val="SubHeading2"/>
    <w:basedOn w:val="HeadingBase"/>
    <w:rsid w:val="00AE7311"/>
    <w:pPr>
      <w:spacing w:before="240" w:after="60"/>
    </w:pPr>
    <w:rPr>
      <w:sz w:val="20"/>
    </w:rPr>
  </w:style>
  <w:style w:type="paragraph" w:customStyle="1" w:styleId="SubHeading1">
    <w:name w:val="SubHeading1"/>
    <w:basedOn w:val="HeadingBase"/>
    <w:rsid w:val="00AE7311"/>
    <w:pPr>
      <w:spacing w:before="240" w:after="60"/>
    </w:pPr>
    <w:rPr>
      <w:color w:val="918585"/>
      <w:sz w:val="22"/>
    </w:rPr>
  </w:style>
  <w:style w:type="paragraph" w:customStyle="1" w:styleId="SideHeading">
    <w:name w:val="Side Heading"/>
    <w:basedOn w:val="HeadingBase"/>
    <w:rsid w:val="00AE7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311"/>
    <w:pPr>
      <w:numPr>
        <w:numId w:val="10"/>
      </w:numPr>
    </w:pPr>
  </w:style>
  <w:style w:type="paragraph" w:styleId="PlainText">
    <w:name w:val="Plain Text"/>
    <w:basedOn w:val="Normal"/>
    <w:link w:val="PlainTextChar"/>
    <w:rsid w:val="00AE7311"/>
    <w:rPr>
      <w:sz w:val="20"/>
    </w:rPr>
  </w:style>
  <w:style w:type="character" w:customStyle="1" w:styleId="PlainTextChar">
    <w:name w:val="Plain Text Char"/>
    <w:basedOn w:val="DefaultParagraphFont"/>
    <w:link w:val="PlainText"/>
    <w:rsid w:val="00AE7311"/>
    <w:rPr>
      <w:rFonts w:ascii="Courier New" w:eastAsia="Times New Roman" w:hAnsi="Courier New" w:cs="Times New Roman"/>
      <w:sz w:val="20"/>
      <w:szCs w:val="20"/>
      <w:lang w:eastAsia="en-US"/>
    </w:rPr>
  </w:style>
  <w:style w:type="character" w:customStyle="1" w:styleId="MenuOption">
    <w:name w:val="Menu Option"/>
    <w:basedOn w:val="DefaultParagraphFont"/>
    <w:rsid w:val="00AE7311"/>
    <w:rPr>
      <w:b/>
      <w:smallCaps/>
    </w:rPr>
  </w:style>
  <w:style w:type="paragraph" w:customStyle="1" w:styleId="TableListNumber">
    <w:name w:val="Table List Number"/>
    <w:basedOn w:val="ListNumber"/>
    <w:rsid w:val="00AE7311"/>
    <w:pPr>
      <w:numPr>
        <w:numId w:val="0"/>
      </w:numPr>
    </w:pPr>
  </w:style>
  <w:style w:type="paragraph" w:styleId="TOC4">
    <w:name w:val="toc 4"/>
    <w:basedOn w:val="TOCBase"/>
    <w:next w:val="Normal"/>
    <w:semiHidden/>
    <w:rsid w:val="00AE7311"/>
    <w:pPr>
      <w:tabs>
        <w:tab w:val="right" w:leader="dot" w:pos="9071"/>
      </w:tabs>
      <w:ind w:left="1701"/>
    </w:pPr>
  </w:style>
  <w:style w:type="paragraph" w:customStyle="1" w:styleId="ListAlpha">
    <w:name w:val="List Alpha"/>
    <w:basedOn w:val="List"/>
    <w:rsid w:val="00AE7311"/>
    <w:pPr>
      <w:numPr>
        <w:numId w:val="8"/>
      </w:numPr>
    </w:pPr>
  </w:style>
  <w:style w:type="paragraph" w:customStyle="1" w:styleId="ListAlpha2">
    <w:name w:val="List Alpha 2"/>
    <w:basedOn w:val="List2"/>
    <w:rsid w:val="00AE7311"/>
    <w:pPr>
      <w:numPr>
        <w:numId w:val="7"/>
      </w:numPr>
    </w:pPr>
  </w:style>
  <w:style w:type="paragraph" w:styleId="List2">
    <w:name w:val="List 2"/>
    <w:basedOn w:val="BodyText"/>
    <w:rsid w:val="00AE7311"/>
    <w:pPr>
      <w:tabs>
        <w:tab w:val="left" w:pos="680"/>
      </w:tabs>
      <w:spacing w:before="60" w:after="60"/>
      <w:ind w:left="680" w:hanging="340"/>
    </w:pPr>
  </w:style>
  <w:style w:type="paragraph" w:styleId="List3">
    <w:name w:val="List 3"/>
    <w:basedOn w:val="BodyText"/>
    <w:rsid w:val="00AE7311"/>
    <w:pPr>
      <w:tabs>
        <w:tab w:val="left" w:pos="1021"/>
      </w:tabs>
      <w:spacing w:before="60" w:after="60"/>
      <w:ind w:left="1020" w:hanging="340"/>
    </w:pPr>
  </w:style>
  <w:style w:type="paragraph" w:styleId="List4">
    <w:name w:val="List 4"/>
    <w:basedOn w:val="BodyText"/>
    <w:rsid w:val="00AE7311"/>
    <w:pPr>
      <w:tabs>
        <w:tab w:val="left" w:pos="1361"/>
      </w:tabs>
      <w:spacing w:before="60" w:after="60"/>
      <w:ind w:left="1361" w:hanging="340"/>
    </w:pPr>
  </w:style>
  <w:style w:type="paragraph" w:styleId="List5">
    <w:name w:val="List 5"/>
    <w:basedOn w:val="BodyText"/>
    <w:rsid w:val="00AE7311"/>
    <w:pPr>
      <w:tabs>
        <w:tab w:val="left" w:pos="1701"/>
      </w:tabs>
      <w:spacing w:before="60" w:after="60"/>
      <w:ind w:left="1701" w:hanging="340"/>
    </w:pPr>
  </w:style>
  <w:style w:type="paragraph" w:styleId="ListBullet3">
    <w:name w:val="List Bullet 3"/>
    <w:basedOn w:val="List3"/>
    <w:rsid w:val="00AE7311"/>
    <w:pPr>
      <w:numPr>
        <w:numId w:val="13"/>
      </w:numPr>
      <w:tabs>
        <w:tab w:val="clear" w:pos="1021"/>
      </w:tabs>
      <w:ind w:left="1037" w:hanging="357"/>
    </w:pPr>
  </w:style>
  <w:style w:type="paragraph" w:styleId="ListBullet4">
    <w:name w:val="List Bullet 4"/>
    <w:basedOn w:val="List4"/>
    <w:rsid w:val="00AE7311"/>
    <w:pPr>
      <w:numPr>
        <w:numId w:val="2"/>
      </w:numPr>
      <w:tabs>
        <w:tab w:val="clear" w:pos="1361"/>
      </w:tabs>
    </w:pPr>
  </w:style>
  <w:style w:type="paragraph" w:styleId="ListBullet5">
    <w:name w:val="List Bullet 5"/>
    <w:basedOn w:val="List5"/>
    <w:rsid w:val="00AE7311"/>
    <w:pPr>
      <w:numPr>
        <w:numId w:val="3"/>
      </w:numPr>
    </w:pPr>
  </w:style>
  <w:style w:type="paragraph" w:styleId="ListContinue2">
    <w:name w:val="List Continue 2"/>
    <w:basedOn w:val="List2"/>
    <w:rsid w:val="00AE7311"/>
    <w:pPr>
      <w:ind w:firstLine="0"/>
    </w:pPr>
  </w:style>
  <w:style w:type="paragraph" w:styleId="ListContinue3">
    <w:name w:val="List Continue 3"/>
    <w:basedOn w:val="List3"/>
    <w:rsid w:val="00AE7311"/>
    <w:pPr>
      <w:ind w:left="1021" w:firstLine="0"/>
    </w:pPr>
  </w:style>
  <w:style w:type="paragraph" w:styleId="ListContinue4">
    <w:name w:val="List Continue 4"/>
    <w:basedOn w:val="List4"/>
    <w:rsid w:val="00AE7311"/>
    <w:pPr>
      <w:ind w:firstLine="0"/>
    </w:pPr>
  </w:style>
  <w:style w:type="paragraph" w:styleId="ListContinue5">
    <w:name w:val="List Continue 5"/>
    <w:basedOn w:val="List5"/>
    <w:rsid w:val="00AE7311"/>
    <w:pPr>
      <w:ind w:firstLine="0"/>
    </w:pPr>
  </w:style>
  <w:style w:type="paragraph" w:styleId="ListNumber3">
    <w:name w:val="List Number 3"/>
    <w:basedOn w:val="List3"/>
    <w:rsid w:val="00AE7311"/>
    <w:pPr>
      <w:numPr>
        <w:numId w:val="4"/>
      </w:numPr>
    </w:pPr>
  </w:style>
  <w:style w:type="paragraph" w:styleId="ListNumber4">
    <w:name w:val="List Number 4"/>
    <w:basedOn w:val="List4"/>
    <w:rsid w:val="00AE7311"/>
    <w:pPr>
      <w:numPr>
        <w:numId w:val="5"/>
      </w:numPr>
    </w:pPr>
  </w:style>
  <w:style w:type="paragraph" w:styleId="ListNumber5">
    <w:name w:val="List Number 5"/>
    <w:basedOn w:val="List5"/>
    <w:rsid w:val="00AE7311"/>
    <w:pPr>
      <w:numPr>
        <w:numId w:val="6"/>
      </w:numPr>
    </w:pPr>
  </w:style>
  <w:style w:type="paragraph" w:styleId="BlockText">
    <w:name w:val="Block Text"/>
    <w:basedOn w:val="Normal"/>
    <w:rsid w:val="00AE7311"/>
    <w:pPr>
      <w:spacing w:after="120"/>
      <w:ind w:left="1440" w:right="1440"/>
    </w:pPr>
  </w:style>
  <w:style w:type="character" w:customStyle="1" w:styleId="Subscript">
    <w:name w:val="Subscript"/>
    <w:basedOn w:val="DefaultParagraphFont"/>
    <w:rsid w:val="00AE7311"/>
    <w:rPr>
      <w:sz w:val="16"/>
      <w:vertAlign w:val="subscript"/>
    </w:rPr>
  </w:style>
  <w:style w:type="character" w:customStyle="1" w:styleId="Superscript">
    <w:name w:val="Superscript"/>
    <w:basedOn w:val="DefaultParagraphFont"/>
    <w:rsid w:val="00AE7311"/>
    <w:rPr>
      <w:sz w:val="16"/>
      <w:vertAlign w:val="superscript"/>
    </w:rPr>
  </w:style>
  <w:style w:type="character" w:customStyle="1" w:styleId="Symbols">
    <w:name w:val="Symbols"/>
    <w:basedOn w:val="DefaultParagraphFont"/>
    <w:rsid w:val="00AE7311"/>
    <w:rPr>
      <w:rFonts w:ascii="Symbol" w:hAnsi="Symbol"/>
    </w:rPr>
  </w:style>
  <w:style w:type="character" w:customStyle="1" w:styleId="MenuOptions">
    <w:name w:val="Menu Options"/>
    <w:basedOn w:val="DefaultParagraphFont"/>
    <w:rsid w:val="00AE7311"/>
    <w:rPr>
      <w:rFonts w:ascii="Arial Narrow" w:hAnsi="Arial Narrow"/>
      <w:smallCaps/>
    </w:rPr>
  </w:style>
  <w:style w:type="character" w:customStyle="1" w:styleId="Buttons">
    <w:name w:val="Buttons"/>
    <w:basedOn w:val="DefaultParagraphFont"/>
    <w:rsid w:val="00AE7311"/>
    <w:rPr>
      <w:b/>
    </w:rPr>
  </w:style>
  <w:style w:type="character" w:customStyle="1" w:styleId="Underlined">
    <w:name w:val="Underlined"/>
    <w:basedOn w:val="DefaultParagraphFont"/>
    <w:rsid w:val="00AE7311"/>
    <w:rPr>
      <w:u w:val="single"/>
    </w:rPr>
  </w:style>
  <w:style w:type="paragraph" w:customStyle="1" w:styleId="TableBodyTextRight">
    <w:name w:val="Table Body Text Right"/>
    <w:basedOn w:val="TableBodyText"/>
    <w:rsid w:val="00AE7311"/>
    <w:pPr>
      <w:widowControl w:val="0"/>
      <w:autoSpaceDE w:val="0"/>
      <w:autoSpaceDN w:val="0"/>
      <w:adjustRightInd w:val="0"/>
      <w:jc w:val="right"/>
    </w:pPr>
    <w:rPr>
      <w:rFonts w:cs="Arial"/>
      <w:szCs w:val="18"/>
    </w:rPr>
  </w:style>
  <w:style w:type="paragraph" w:customStyle="1" w:styleId="CopyrightText">
    <w:name w:val="Copyright Text"/>
    <w:basedOn w:val="BodyText"/>
    <w:rsid w:val="00AE7311"/>
    <w:rPr>
      <w:sz w:val="18"/>
    </w:rPr>
  </w:style>
  <w:style w:type="paragraph" w:customStyle="1" w:styleId="BodySmallRight">
    <w:name w:val="Body Small Right"/>
    <w:basedOn w:val="BodyTextRight"/>
    <w:rsid w:val="00AE7311"/>
    <w:rPr>
      <w:sz w:val="18"/>
      <w:szCs w:val="18"/>
    </w:rPr>
  </w:style>
  <w:style w:type="paragraph" w:customStyle="1" w:styleId="MarginEdition">
    <w:name w:val="Margin Edition"/>
    <w:basedOn w:val="MarginNote"/>
    <w:rsid w:val="00AE7311"/>
    <w:pPr>
      <w:spacing w:before="0" w:after="0"/>
    </w:pPr>
    <w:rPr>
      <w:rFonts w:ascii="Times New Roman" w:hAnsi="Times New Roman"/>
      <w:color w:val="999999"/>
    </w:rPr>
  </w:style>
  <w:style w:type="paragraph" w:customStyle="1" w:styleId="Spacer">
    <w:name w:val="Spacer"/>
    <w:basedOn w:val="Normal"/>
    <w:rsid w:val="00AE7311"/>
    <w:rPr>
      <w:sz w:val="2"/>
      <w:szCs w:val="2"/>
    </w:rPr>
  </w:style>
  <w:style w:type="character" w:customStyle="1" w:styleId="Small">
    <w:name w:val="Small"/>
    <w:basedOn w:val="DefaultParagraphFont"/>
    <w:rsid w:val="00AE7311"/>
    <w:rPr>
      <w:sz w:val="16"/>
    </w:rPr>
  </w:style>
  <w:style w:type="paragraph" w:customStyle="1" w:styleId="WideTable">
    <w:name w:val="Wide Table"/>
    <w:basedOn w:val="Normal"/>
    <w:rsid w:val="00AE7311"/>
    <w:pPr>
      <w:ind w:left="-1418"/>
    </w:pPr>
    <w:rPr>
      <w:sz w:val="2"/>
      <w:szCs w:val="2"/>
    </w:rPr>
  </w:style>
  <w:style w:type="character" w:styleId="PageNumber">
    <w:name w:val="page number"/>
    <w:basedOn w:val="DefaultParagraphFont"/>
    <w:rsid w:val="00AE7311"/>
  </w:style>
  <w:style w:type="paragraph" w:styleId="Quote">
    <w:name w:val="Quote"/>
    <w:basedOn w:val="Heading1"/>
    <w:link w:val="QuoteChar"/>
    <w:qFormat/>
    <w:rsid w:val="00AE7311"/>
    <w:rPr>
      <w:b w:val="0"/>
      <w:sz w:val="72"/>
      <w:szCs w:val="72"/>
      <w:lang w:val="en-NZ"/>
    </w:rPr>
  </w:style>
  <w:style w:type="character" w:customStyle="1" w:styleId="QuoteChar">
    <w:name w:val="Quote Char"/>
    <w:basedOn w:val="DefaultParagraphFont"/>
    <w:link w:val="Quote"/>
    <w:rsid w:val="00AE7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311"/>
    <w:pPr>
      <w:pageBreakBefore/>
    </w:pPr>
  </w:style>
  <w:style w:type="paragraph" w:customStyle="1" w:styleId="Border">
    <w:name w:val="Border"/>
    <w:basedOn w:val="Normal"/>
    <w:qFormat/>
    <w:rsid w:val="00AE7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311"/>
    <w:rPr>
      <w:b/>
      <w:bCs/>
      <w:i/>
      <w:iCs/>
      <w:color w:val="auto"/>
    </w:rPr>
  </w:style>
  <w:style w:type="paragraph" w:styleId="IntenseQuote">
    <w:name w:val="Intense Quote"/>
    <w:basedOn w:val="Normal"/>
    <w:next w:val="Normal"/>
    <w:link w:val="IntenseQuoteChar"/>
    <w:uiPriority w:val="30"/>
    <w:qFormat/>
    <w:rsid w:val="00AE7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311"/>
    <w:rPr>
      <w:smallCaps/>
      <w:color w:val="auto"/>
      <w:u w:val="single"/>
    </w:rPr>
  </w:style>
  <w:style w:type="character" w:styleId="IntenseReference">
    <w:name w:val="Intense Reference"/>
    <w:basedOn w:val="DefaultParagraphFont"/>
    <w:uiPriority w:val="32"/>
    <w:qFormat/>
    <w:rsid w:val="00AE7311"/>
    <w:rPr>
      <w:b/>
      <w:bCs/>
      <w:smallCaps/>
      <w:color w:val="auto"/>
      <w:spacing w:val="5"/>
      <w:u w:val="single"/>
    </w:rPr>
  </w:style>
  <w:style w:type="paragraph" w:customStyle="1" w:styleId="2ColumnHeading">
    <w:name w:val="2Column Heading"/>
    <w:basedOn w:val="BodyText"/>
    <w:qFormat/>
    <w:rsid w:val="00AE7311"/>
    <w:pPr>
      <w:spacing w:after="60"/>
      <w:ind w:left="-2268"/>
    </w:pPr>
    <w:rPr>
      <w:b/>
    </w:rPr>
  </w:style>
  <w:style w:type="paragraph" w:customStyle="1" w:styleId="Heading1TOC">
    <w:name w:val="Heading1 TOC"/>
    <w:basedOn w:val="Normal"/>
    <w:qFormat/>
    <w:rsid w:val="00AE7311"/>
    <w:pPr>
      <w:spacing w:before="240" w:after="120"/>
    </w:pPr>
    <w:rPr>
      <w:rFonts w:ascii="Times New Roman" w:hAnsi="Times New Roman"/>
      <w:b/>
      <w:sz w:val="32"/>
    </w:rPr>
  </w:style>
  <w:style w:type="paragraph" w:customStyle="1" w:styleId="Heading2TOC">
    <w:name w:val="Heading2 TOC"/>
    <w:basedOn w:val="Normal"/>
    <w:qFormat/>
    <w:rsid w:val="00AE7311"/>
    <w:pPr>
      <w:spacing w:before="240" w:after="60"/>
    </w:pPr>
    <w:rPr>
      <w:rFonts w:ascii="Times New Roman" w:hAnsi="Times New Roman"/>
      <w:b/>
      <w:sz w:val="28"/>
    </w:rPr>
  </w:style>
  <w:style w:type="character" w:customStyle="1" w:styleId="Underline">
    <w:name w:val="Underline"/>
    <w:basedOn w:val="DefaultParagraphFont"/>
    <w:qFormat/>
    <w:rsid w:val="00AE7311"/>
    <w:rPr>
      <w:u w:val="single"/>
    </w:rPr>
  </w:style>
  <w:style w:type="character" w:customStyle="1" w:styleId="BoldandItalics">
    <w:name w:val="Bold and Italics"/>
    <w:qFormat/>
    <w:rsid w:val="00AE7311"/>
    <w:rPr>
      <w:b/>
      <w:i/>
      <w:u w:val="none"/>
    </w:rPr>
  </w:style>
  <w:style w:type="paragraph" w:styleId="BalloonText">
    <w:name w:val="Balloon Text"/>
    <w:basedOn w:val="Normal"/>
    <w:link w:val="BalloonTextChar"/>
    <w:rsid w:val="00AE7311"/>
    <w:rPr>
      <w:rFonts w:ascii="Tahoma" w:hAnsi="Tahoma" w:cs="Tahoma"/>
      <w:sz w:val="16"/>
      <w:szCs w:val="16"/>
    </w:rPr>
  </w:style>
  <w:style w:type="character" w:customStyle="1" w:styleId="BalloonTextChar">
    <w:name w:val="Balloon Text Char"/>
    <w:basedOn w:val="DefaultParagraphFont"/>
    <w:link w:val="BalloonText"/>
    <w:rsid w:val="00AE7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311"/>
    <w:rPr>
      <w:b/>
      <w:color w:val="660033"/>
      <w:spacing w:val="0"/>
    </w:rPr>
  </w:style>
  <w:style w:type="paragraph" w:customStyle="1" w:styleId="Nameditemlist">
    <w:name w:val="Named item list"/>
    <w:basedOn w:val="BodyText"/>
    <w:qFormat/>
    <w:rsid w:val="00AE7311"/>
    <w:pPr>
      <w:tabs>
        <w:tab w:val="left" w:pos="2835"/>
      </w:tabs>
      <w:ind w:left="2835" w:hanging="2835"/>
    </w:pPr>
  </w:style>
  <w:style w:type="paragraph" w:customStyle="1" w:styleId="BodyTextnopadding">
    <w:name w:val="Body Text no padding"/>
    <w:basedOn w:val="BodyText"/>
    <w:qFormat/>
    <w:rsid w:val="00AE7311"/>
    <w:pPr>
      <w:spacing w:before="0" w:after="0"/>
    </w:pPr>
  </w:style>
  <w:style w:type="paragraph" w:customStyle="1" w:styleId="BodyTextBold">
    <w:name w:val="Body Text Bold"/>
    <w:basedOn w:val="BodyText"/>
    <w:qFormat/>
    <w:rsid w:val="00AE7311"/>
    <w:rPr>
      <w:b/>
    </w:rPr>
  </w:style>
  <w:style w:type="character" w:styleId="Hyperlink">
    <w:name w:val="Hyperlink"/>
    <w:basedOn w:val="DefaultParagraphFont"/>
    <w:uiPriority w:val="99"/>
    <w:unhideWhenUsed/>
    <w:rsid w:val="007F0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7444</Characters>
  <Application>Microsoft Office Word</Application>
  <DocSecurity>0</DocSecurity>
  <Lines>297</Lines>
  <Paragraphs>152</Paragraphs>
  <ScaleCrop>false</ScaleCrop>
  <Company>Author-it Software Corporation Ltd.</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TLIX0073 Organise supply support on deployment</dc:title>
  <dc:subject>Approved</dc:subject>
  <dc:creator>Industry Skills Australia</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