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8E3" w:rsidP="00656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TLIX0072 Organise health support operations</w:t>
      </w:r>
      <w:r>
        <w:fldChar w:fldCharType="end"/>
      </w:r>
    </w:p>
    <w:p w:rsidR="006568E3" w:rsidP="006568E3">
      <w:pPr>
        <w:pStyle w:val="Version"/>
        <w:sectPr w:rsidSect="00214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1E6" w:rsidP="002141E6">
      <w:pPr>
        <w:pStyle w:val="SuperHeading"/>
      </w:pPr>
      <w:r w:rsidRPr="002141E6">
        <w:t>TLIX0072 Organise health support operations</w:t>
      </w:r>
    </w:p>
    <w:p w:rsidR="00000000" w:rsidRPr="002141E6" w:rsidP="002141E6">
      <w:pPr>
        <w:pStyle w:val="Heading1"/>
      </w:pPr>
      <w:bookmarkStart w:id="1" w:name="O_1269134"/>
      <w:bookmarkEnd w:id="1"/>
      <w:r w:rsidRPr="002141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rPr>
                <w:rStyle w:val="SpecialBold"/>
              </w:rPr>
              <w:t>Release 1.</w:t>
            </w:r>
            <w:r w:rsidRPr="002141E6">
              <w:t xml:space="preserve"> This is the first release of this unit of competency in the TLI Transport and Logistics Training Package.</w:t>
            </w:r>
          </w:p>
        </w:tc>
      </w:tr>
    </w:tbl>
    <w:p w:rsidR="00000000" w:rsidRPr="002141E6" w:rsidP="002141E6">
      <w:pPr>
        <w:pStyle w:val="NoPaddingFontSize1"/>
      </w:pPr>
    </w:p>
    <w:p w:rsidR="00000000" w:rsidRPr="002141E6" w:rsidP="002141E6">
      <w:pPr>
        <w:pStyle w:val="AllowPageBreak"/>
      </w:pPr>
    </w:p>
    <w:p w:rsidR="00000000" w:rsidRPr="002141E6" w:rsidP="002141E6">
      <w:pPr>
        <w:pStyle w:val="Heading1"/>
      </w:pPr>
      <w:bookmarkStart w:id="2" w:name="O_1269135"/>
      <w:bookmarkEnd w:id="2"/>
      <w:r w:rsidRPr="002141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t>This unit involves the skills and knowledge required to organise health supp</w:t>
            </w:r>
            <w:r w:rsidRPr="002141E6">
              <w:t xml:space="preserve">ort operations. </w:t>
            </w:r>
          </w:p>
          <w:p w:rsidR="00000000" w:rsidRPr="002141E6" w:rsidP="002141E6">
            <w:pPr>
              <w:pStyle w:val="BodyText"/>
            </w:pPr>
            <w:r w:rsidRPr="002141E6">
              <w:t>It includes preparing for health support operations, managing evacuation support and managing health support.</w:t>
            </w:r>
          </w:p>
          <w:p w:rsidR="00000000" w:rsidRPr="002141E6" w:rsidP="002141E6">
            <w:pPr>
              <w:pStyle w:val="BodyText"/>
            </w:pPr>
            <w:r w:rsidRPr="002141E6">
              <w:t xml:space="preserve">This unit is applicable to logistics personnel responsible for organising and managing the delivery of health support in a field </w:t>
            </w:r>
            <w:r w:rsidRPr="002141E6">
              <w:t>deployment context.</w:t>
            </w:r>
          </w:p>
          <w:p w:rsidR="00000000" w:rsidRPr="002141E6" w:rsidP="002141E6">
            <w:pPr>
              <w:pStyle w:val="BodyText"/>
            </w:pPr>
            <w:r w:rsidRPr="002141E6">
              <w:t>People who undertake this unit will usually be a clinician or a health care provider. This role requires management and leadership skills.</w:t>
            </w:r>
          </w:p>
          <w:p w:rsidR="00000000" w:rsidRPr="002141E6" w:rsidP="002141E6">
            <w:pPr>
              <w:pStyle w:val="BodyText"/>
            </w:pPr>
            <w:r w:rsidRPr="002141E6">
              <w:t>Health elements may be comprised of a range of health capability from different disciplines (such</w:t>
            </w:r>
            <w:r w:rsidRPr="002141E6">
              <w:t xml:space="preserve"> as dental, pathology, surgical), which, when brought together, form a comprehensive health support organisation. The composition of this health support organisation will be guided by the type and scale of operation. </w:t>
            </w:r>
          </w:p>
          <w:p w:rsidR="00000000" w:rsidRPr="002141E6" w:rsidP="002141E6">
            <w:pPr>
              <w:pStyle w:val="BodyText"/>
            </w:pPr>
            <w:r w:rsidRPr="002141E6">
              <w:t>No licensing, legislative or certifica</w:t>
            </w:r>
            <w:r w:rsidRPr="002141E6">
              <w:t>tion requirements apply to this unit at the time of publication.</w:t>
            </w:r>
          </w:p>
        </w:tc>
      </w:tr>
    </w:tbl>
    <w:p w:rsidR="00000000" w:rsidRPr="002141E6" w:rsidP="002141E6">
      <w:pPr>
        <w:pStyle w:val="NoPaddingFontSize1"/>
      </w:pPr>
    </w:p>
    <w:p w:rsidR="00000000" w:rsidRPr="002141E6" w:rsidP="002141E6">
      <w:pPr>
        <w:pStyle w:val="AllowPageBreak"/>
      </w:pPr>
    </w:p>
    <w:p w:rsidR="00000000" w:rsidRPr="002141E6" w:rsidP="002141E6">
      <w:pPr>
        <w:pStyle w:val="Heading1"/>
      </w:pPr>
      <w:bookmarkStart w:id="3" w:name="O_1269136"/>
      <w:bookmarkEnd w:id="3"/>
      <w:r w:rsidRPr="002141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t>Not applicable.</w:t>
            </w:r>
          </w:p>
        </w:tc>
      </w:tr>
    </w:tbl>
    <w:p w:rsidR="00000000" w:rsidRPr="002141E6" w:rsidP="002141E6">
      <w:pPr>
        <w:pStyle w:val="NoPaddingFontSize1"/>
      </w:pPr>
    </w:p>
    <w:p w:rsidR="00000000" w:rsidRPr="002141E6" w:rsidP="002141E6">
      <w:pPr>
        <w:pStyle w:val="AllowPageBreak"/>
      </w:pPr>
    </w:p>
    <w:p w:rsidR="00000000" w:rsidRPr="002141E6" w:rsidP="002141E6">
      <w:pPr>
        <w:pStyle w:val="Heading1"/>
      </w:pPr>
      <w:bookmarkStart w:id="4" w:name="O_1269137"/>
      <w:bookmarkEnd w:id="4"/>
      <w:r w:rsidRPr="002141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t>X – Logistics</w:t>
            </w:r>
          </w:p>
        </w:tc>
      </w:tr>
    </w:tbl>
    <w:p w:rsidR="00000000" w:rsidRPr="002141E6" w:rsidP="002141E6">
      <w:pPr>
        <w:pStyle w:val="NoPaddingFontSize1"/>
      </w:pPr>
    </w:p>
    <w:p w:rsidR="00000000" w:rsidRPr="002141E6" w:rsidP="002141E6">
      <w:pPr>
        <w:pStyle w:val="AllowPageBreak"/>
      </w:pPr>
    </w:p>
    <w:p w:rsidR="00000000" w:rsidRPr="002141E6" w:rsidP="002141E6">
      <w:pPr>
        <w:pStyle w:val="Heading1"/>
      </w:pPr>
      <w:bookmarkStart w:id="5" w:name="O_1269138"/>
      <w:bookmarkEnd w:id="5"/>
      <w:r w:rsidRPr="002141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t>Not applicable.</w:t>
            </w:r>
          </w:p>
        </w:tc>
      </w:tr>
    </w:tbl>
    <w:p w:rsidR="00000000" w:rsidRPr="002141E6" w:rsidP="002141E6">
      <w:pPr>
        <w:pStyle w:val="NoPaddingFontSize1"/>
      </w:pPr>
    </w:p>
    <w:p w:rsidR="00000000" w:rsidRPr="002141E6" w:rsidP="002141E6">
      <w:pPr>
        <w:pStyle w:val="AllowPageBreak"/>
      </w:pPr>
    </w:p>
    <w:p w:rsidR="00000000" w:rsidRPr="002141E6" w:rsidP="002141E6">
      <w:pPr>
        <w:pStyle w:val="Heading1"/>
      </w:pPr>
      <w:bookmarkStart w:id="6" w:name="O_1269139"/>
      <w:bookmarkEnd w:id="6"/>
      <w:r w:rsidRPr="002141E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6"/>
        <w:gridCol w:w="2609"/>
        <w:gridCol w:w="1439"/>
        <w:gridCol w:w="4653"/>
      </w:tblGrid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Elements describe the essential outcomes.</w:t>
            </w:r>
          </w:p>
        </w:tc>
        <w:tc>
          <w:tcPr>
            <w:tcW w:w="60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Performance criteria describe the performance needed to demonstrate achievement of the element.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rPr>
                <w:rStyle w:val="SpecialBold"/>
              </w:rPr>
              <w:t>1</w:t>
            </w:r>
          </w:p>
        </w:tc>
        <w:tc>
          <w:tcPr>
            <w:tcW w:w="26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rPr>
                <w:rStyle w:val="SpecialBold"/>
              </w:rPr>
              <w:t xml:space="preserve">Prepare for health </w:t>
            </w:r>
            <w:r w:rsidRPr="002141E6">
              <w:rPr>
                <w:rStyle w:val="SpecialBold"/>
              </w:rPr>
              <w:t>support operations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1.1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 xml:space="preserve">Information is sourced and analysed to </w:t>
            </w:r>
            <w:r w:rsidRPr="002141E6">
              <w:t>identify health factors to be considered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1.2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Considerations of production or maintenance planning are applied to derive the most efficient employment of health element equipment and personnel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1.3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 xml:space="preserve">Maintenance of </w:t>
            </w:r>
            <w:r w:rsidRPr="002141E6">
              <w:t>health equipment is scheduled within the constraints of delivering health support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1.4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Health personnel are monitored to ensure competence, authorisation and readiness to provide health care support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1.5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Principles are applied to preparation and planning of health support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1.6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Instructions are prepared and delivered to implement and coordinate health support operations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1.7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Technical advice is provided to relevant personnel and stakeholders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rPr>
                <w:rStyle w:val="SpecialBold"/>
              </w:rPr>
              <w:t>2</w:t>
            </w:r>
          </w:p>
        </w:tc>
        <w:tc>
          <w:tcPr>
            <w:tcW w:w="26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rPr>
                <w:rStyle w:val="SpecialBold"/>
              </w:rPr>
              <w:t>Manage e</w:t>
            </w:r>
            <w:r w:rsidRPr="002141E6">
              <w:rPr>
                <w:rStyle w:val="SpecialBold"/>
              </w:rPr>
              <w:t>vacuation support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2.1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Evacuation planning factors are taken into consideration when planning and compiling an evacuation task order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2.2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Evacuation assets are maintained in a state of high readiness to respond to evacuation tasking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2.3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Processes and procedures are established to enable despatch and control of evacuation assets in response to tasking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2.4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Evacuation support is delivered to ensure continuity of care to casualties requiring evacuation via the health element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2.5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Evacuation support is delivered within operational environment constraints allowing for appropriate security and protection of evacuation assets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2.6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Reception and despatch of casualties with other evacuation modes is coordinated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rPr>
                <w:rStyle w:val="SpecialBold"/>
              </w:rPr>
              <w:t>3</w:t>
            </w:r>
          </w:p>
        </w:tc>
        <w:tc>
          <w:tcPr>
            <w:tcW w:w="26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rPr>
                <w:rStyle w:val="SpecialBold"/>
              </w:rPr>
              <w:t>Manage health support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3.1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Interrelationship between health elements is managed to enable continuity of care as patient transitions through different care agencies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3.2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Health care specialists and providers are consulted to ensure patient holding is appropriate and is balanced with care required and needed to maintain health element mobility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3.3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Patient tracking is managed to ensure accurate picture of patient status a</w:t>
            </w:r>
            <w:r w:rsidRPr="002141E6">
              <w:t>t all times and to ensure personnel administrative system is informed of patient movements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3.4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Health records are maintained to enable accurate recording of care provided and basis for review and ongoing treatment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3.5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Health logistics are managed to ensure health resources available for care are consistent with care required and capability of health element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3.6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Health related reports and returns are prepared and submitted to assist with organisational health planning</w:t>
            </w:r>
            <w:r w:rsidRPr="002141E6">
              <w:t xml:space="preserve"> and coordination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3.7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t>Health support delivery is applied in accordance with conventions, laws and organisational procedures</w:t>
            </w:r>
          </w:p>
        </w:tc>
      </w:tr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>
            <w:pPr>
              <w:pStyle w:val="BodyText"/>
              <w:keepLines w:val="0"/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1E6">
            <w:pPr>
              <w:pStyle w:val="BodyText"/>
              <w:rPr>
                <w:lang w:val="en-NZ"/>
              </w:rPr>
            </w:pPr>
            <w:r w:rsidRPr="002141E6">
              <w:rPr>
                <w:rStyle w:val="SpecialBold"/>
              </w:rPr>
              <w:t>3.8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t>Welfare and administration of patients and health element personnel is monitored</w:t>
            </w:r>
          </w:p>
        </w:tc>
      </w:tr>
    </w:tbl>
    <w:p w:rsidR="00000000" w:rsidRPr="002141E6" w:rsidP="002141E6">
      <w:pPr>
        <w:pStyle w:val="NoPaddingFontSize1"/>
      </w:pPr>
    </w:p>
    <w:p w:rsidR="00000000" w:rsidRPr="002141E6" w:rsidP="002141E6">
      <w:pPr>
        <w:pStyle w:val="AllowPageBreak"/>
      </w:pPr>
    </w:p>
    <w:p w:rsidR="00000000" w:rsidRPr="002141E6" w:rsidP="002141E6">
      <w:pPr>
        <w:pStyle w:val="Heading1"/>
      </w:pPr>
      <w:bookmarkStart w:id="7" w:name="O_1269141"/>
      <w:bookmarkEnd w:id="7"/>
      <w:r w:rsidRPr="002141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t>Foundation skills essential to performance are explicit in the performance criteria of this unit of competency.</w:t>
            </w:r>
          </w:p>
        </w:tc>
      </w:tr>
    </w:tbl>
    <w:p w:rsidR="00000000" w:rsidRPr="002141E6" w:rsidP="002141E6">
      <w:pPr>
        <w:pStyle w:val="NoPaddingFontSize1"/>
      </w:pPr>
    </w:p>
    <w:p w:rsidR="00000000" w:rsidRPr="002141E6" w:rsidP="002141E6">
      <w:pPr>
        <w:pStyle w:val="AllowPageBreak"/>
      </w:pPr>
    </w:p>
    <w:p w:rsidR="00000000" w:rsidRPr="002141E6" w:rsidP="002141E6">
      <w:pPr>
        <w:pStyle w:val="Heading1"/>
      </w:pPr>
      <w:bookmarkStart w:id="8" w:name="O_1269143"/>
      <w:bookmarkEnd w:id="8"/>
      <w:r w:rsidRPr="002141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t>Range is restricted to essential operating conditions and any other variables essential to the work env</w:t>
            </w:r>
            <w:r w:rsidRPr="002141E6">
              <w:t>ironment.</w:t>
            </w:r>
          </w:p>
          <w:p w:rsidR="00000000" w:rsidRPr="002141E6" w:rsidP="002141E6">
            <w:pPr>
              <w:pStyle w:val="BodyText"/>
            </w:pPr>
            <w:r w:rsidRPr="002141E6">
              <w:t>Non-essential conditions can be found in the Companion Volume Implementation Guide.</w:t>
            </w:r>
          </w:p>
        </w:tc>
      </w:tr>
    </w:tbl>
    <w:p w:rsidR="00000000" w:rsidRPr="002141E6" w:rsidP="002141E6">
      <w:pPr>
        <w:pStyle w:val="NoPaddingFontSize1"/>
      </w:pPr>
    </w:p>
    <w:p w:rsidR="00000000" w:rsidRPr="002141E6" w:rsidP="002141E6">
      <w:pPr>
        <w:pStyle w:val="AllowPageBreak"/>
      </w:pPr>
    </w:p>
    <w:p w:rsidR="00000000" w:rsidRPr="002141E6" w:rsidP="002141E6">
      <w:pPr>
        <w:pStyle w:val="Heading1"/>
      </w:pPr>
      <w:bookmarkStart w:id="9" w:name="O_1269145"/>
      <w:bookmarkEnd w:id="9"/>
      <w:r w:rsidRPr="002141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4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1E6" w:rsidP="002141E6">
            <w:pPr>
              <w:pStyle w:val="BodyText"/>
            </w:pPr>
            <w:r w:rsidRPr="002141E6">
              <w:t>This unit replaces and is equivalent to TLIX5044 Organise health support operations.</w:t>
            </w:r>
          </w:p>
        </w:tc>
      </w:tr>
    </w:tbl>
    <w:p w:rsidR="00000000" w:rsidRPr="002141E6" w:rsidP="002141E6">
      <w:pPr>
        <w:pStyle w:val="NoPaddingFontSize1"/>
      </w:pPr>
    </w:p>
    <w:p w:rsidR="00000000" w:rsidRPr="002141E6" w:rsidP="002141E6">
      <w:pPr>
        <w:pStyle w:val="AllowPageBreak"/>
      </w:pPr>
    </w:p>
    <w:p w:rsidR="00000000" w:rsidRPr="002141E6" w:rsidP="002141E6">
      <w:pPr>
        <w:pStyle w:val="Heading1"/>
      </w:pPr>
      <w:bookmarkStart w:id="10" w:name="O_1269159"/>
      <w:bookmarkEnd w:id="10"/>
      <w:r w:rsidRPr="002141E6">
        <w:t>Links</w:t>
      </w:r>
    </w:p>
    <w:p w:rsidR="00000000" w:rsidRPr="002141E6" w:rsidP="006568E3">
      <w:pPr>
        <w:pStyle w:val="BodyText"/>
      </w:pPr>
      <w:r w:rsidRPr="002141E6">
        <w:t>Comp</w:t>
      </w:r>
      <w:r w:rsidRPr="002141E6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A5D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41E6" w:rsidP="002141E6"/>
    <w:sectPr w:rsidSect="002141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1E6" w:rsidRPr="006568E3" w:rsidP="00656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E3" w:rsidP="00214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8E3" w:rsidP="00214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68E3" w:rsidP="00214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1E6" w:rsidRPr="006568E3" w:rsidP="00656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E3" w:rsidRPr="002D2AF8" w:rsidP="00214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TLIX0072 Organise health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568E3" w:rsidP="00214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1E6"/>
  </w:style>
  <w:style w:type="character" w:customStyle="1" w:styleId="Heading1Char">
    <w:name w:val="Heading 1 Char"/>
    <w:basedOn w:val="DefaultParagraphFont"/>
    <w:link w:val="Heading1"/>
    <w:rsid w:val="00214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1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41E6"/>
    <w:rPr>
      <w:b/>
      <w:spacing w:val="0"/>
    </w:rPr>
  </w:style>
  <w:style w:type="paragraph" w:customStyle="1" w:styleId="SuperHeading">
    <w:name w:val="SuperHeading"/>
    <w:basedOn w:val="Normal"/>
    <w:rsid w:val="00214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4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1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1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4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1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1E6"/>
    <w:rPr>
      <w:i/>
    </w:rPr>
  </w:style>
  <w:style w:type="paragraph" w:styleId="Caption">
    <w:name w:val="caption"/>
    <w:basedOn w:val="BodyText"/>
    <w:next w:val="Normal"/>
    <w:qFormat/>
    <w:rsid w:val="00214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1E6"/>
  </w:style>
  <w:style w:type="paragraph" w:styleId="TableofFigures">
    <w:name w:val="table of figures"/>
    <w:basedOn w:val="Normal"/>
    <w:next w:val="Normal"/>
    <w:semiHidden/>
    <w:rsid w:val="00214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1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41E6"/>
    <w:rPr>
      <w:rFonts w:ascii="Wingdings" w:hAnsi="Wingdings"/>
    </w:rPr>
  </w:style>
  <w:style w:type="paragraph" w:customStyle="1" w:styleId="TableHeading">
    <w:name w:val="Table Heading"/>
    <w:basedOn w:val="HeadingBase"/>
    <w:rsid w:val="00214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1E6"/>
    <w:rPr>
      <w:color w:val="0033CC"/>
      <w:u w:val="none"/>
    </w:rPr>
  </w:style>
  <w:style w:type="paragraph" w:customStyle="1" w:styleId="BodyTextRight">
    <w:name w:val="Body Text Right"/>
    <w:basedOn w:val="BodyText"/>
    <w:rsid w:val="00214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1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1E6"/>
    <w:rPr>
      <w:sz w:val="32"/>
    </w:rPr>
  </w:style>
  <w:style w:type="paragraph" w:customStyle="1" w:styleId="HeadingProcedure">
    <w:name w:val="Heading Procedure"/>
    <w:basedOn w:val="HeadingBase"/>
    <w:next w:val="Normal"/>
    <w:rsid w:val="00214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1E6"/>
    <w:pPr>
      <w:spacing w:before="60" w:after="60"/>
    </w:pPr>
  </w:style>
  <w:style w:type="paragraph" w:styleId="ListContinue">
    <w:name w:val="List Continue"/>
    <w:basedOn w:val="List"/>
    <w:rsid w:val="002141E6"/>
    <w:pPr>
      <w:ind w:firstLine="0"/>
    </w:pPr>
  </w:style>
  <w:style w:type="paragraph" w:customStyle="1" w:styleId="ListNote">
    <w:name w:val="List Note"/>
    <w:basedOn w:val="List"/>
    <w:rsid w:val="00214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1E6"/>
    <w:rPr>
      <w:rFonts w:ascii="Courier New" w:hAnsi="Courier New"/>
    </w:rPr>
  </w:style>
  <w:style w:type="paragraph" w:customStyle="1" w:styleId="NoteBullet">
    <w:name w:val="Note Bullet"/>
    <w:basedOn w:val="Note"/>
    <w:rsid w:val="00214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1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4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1E6"/>
    <w:rPr>
      <w:b/>
      <w:smallCaps/>
    </w:rPr>
  </w:style>
  <w:style w:type="paragraph" w:customStyle="1" w:styleId="TableListNumber">
    <w:name w:val="Table List Number"/>
    <w:basedOn w:val="ListNumber"/>
    <w:rsid w:val="00214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1E6"/>
    <w:pPr>
      <w:numPr>
        <w:numId w:val="7"/>
      </w:numPr>
    </w:pPr>
  </w:style>
  <w:style w:type="paragraph" w:customStyle="1" w:styleId="ListAlpha2">
    <w:name w:val="List Alpha 2"/>
    <w:basedOn w:val="List2"/>
    <w:rsid w:val="002141E6"/>
    <w:pPr>
      <w:numPr>
        <w:numId w:val="6"/>
      </w:numPr>
    </w:pPr>
  </w:style>
  <w:style w:type="paragraph" w:styleId="List2">
    <w:name w:val="List 2"/>
    <w:basedOn w:val="BodyText"/>
    <w:rsid w:val="00214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1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1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41E6"/>
    <w:pPr>
      <w:numPr>
        <w:numId w:val="2"/>
      </w:numPr>
    </w:pPr>
  </w:style>
  <w:style w:type="paragraph" w:styleId="ListContinue2">
    <w:name w:val="List Continue 2"/>
    <w:basedOn w:val="List2"/>
    <w:rsid w:val="002141E6"/>
    <w:pPr>
      <w:ind w:firstLine="0"/>
    </w:pPr>
  </w:style>
  <w:style w:type="paragraph" w:styleId="ListContinue3">
    <w:name w:val="List Continue 3"/>
    <w:basedOn w:val="List3"/>
    <w:rsid w:val="002141E6"/>
    <w:pPr>
      <w:ind w:left="1021" w:firstLine="0"/>
    </w:pPr>
  </w:style>
  <w:style w:type="paragraph" w:styleId="ListContinue4">
    <w:name w:val="List Continue 4"/>
    <w:basedOn w:val="List4"/>
    <w:rsid w:val="002141E6"/>
    <w:pPr>
      <w:ind w:firstLine="0"/>
    </w:pPr>
  </w:style>
  <w:style w:type="paragraph" w:styleId="ListContinue5">
    <w:name w:val="List Continue 5"/>
    <w:basedOn w:val="List5"/>
    <w:rsid w:val="002141E6"/>
    <w:pPr>
      <w:ind w:firstLine="0"/>
    </w:pPr>
  </w:style>
  <w:style w:type="paragraph" w:styleId="ListNumber3">
    <w:name w:val="List Number 3"/>
    <w:basedOn w:val="List3"/>
    <w:rsid w:val="002141E6"/>
    <w:pPr>
      <w:numPr>
        <w:numId w:val="3"/>
      </w:numPr>
    </w:pPr>
  </w:style>
  <w:style w:type="paragraph" w:styleId="ListNumber4">
    <w:name w:val="List Number 4"/>
    <w:basedOn w:val="List4"/>
    <w:rsid w:val="002141E6"/>
    <w:pPr>
      <w:numPr>
        <w:numId w:val="4"/>
      </w:numPr>
    </w:pPr>
  </w:style>
  <w:style w:type="paragraph" w:styleId="ListNumber5">
    <w:name w:val="List Number 5"/>
    <w:basedOn w:val="List5"/>
    <w:rsid w:val="002141E6"/>
    <w:pPr>
      <w:numPr>
        <w:numId w:val="5"/>
      </w:numPr>
    </w:pPr>
  </w:style>
  <w:style w:type="paragraph" w:styleId="BlockText">
    <w:name w:val="Block Text"/>
    <w:basedOn w:val="Normal"/>
    <w:rsid w:val="00214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1E6"/>
    <w:rPr>
      <w:sz w:val="16"/>
      <w:vertAlign w:val="superscript"/>
    </w:rPr>
  </w:style>
  <w:style w:type="character" w:customStyle="1" w:styleId="Symbols">
    <w:name w:val="Symbols"/>
    <w:basedOn w:val="DefaultParagraphFont"/>
    <w:rsid w:val="002141E6"/>
    <w:rPr>
      <w:rFonts w:ascii="Symbol" w:hAnsi="Symbol"/>
    </w:rPr>
  </w:style>
  <w:style w:type="character" w:customStyle="1" w:styleId="MenuOptions">
    <w:name w:val="Menu Options"/>
    <w:basedOn w:val="DefaultParagraphFont"/>
    <w:rsid w:val="00214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1E6"/>
    <w:rPr>
      <w:b/>
    </w:rPr>
  </w:style>
  <w:style w:type="character" w:customStyle="1" w:styleId="Underlined">
    <w:name w:val="Underlined"/>
    <w:basedOn w:val="DefaultParagraphFont"/>
    <w:rsid w:val="002141E6"/>
    <w:rPr>
      <w:u w:val="single"/>
    </w:rPr>
  </w:style>
  <w:style w:type="paragraph" w:customStyle="1" w:styleId="TableBodyTextRight">
    <w:name w:val="Table Body Text Right"/>
    <w:basedOn w:val="TableBodyText"/>
    <w:rsid w:val="00214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1E6"/>
    <w:rPr>
      <w:sz w:val="18"/>
    </w:rPr>
  </w:style>
  <w:style w:type="paragraph" w:customStyle="1" w:styleId="BodySmallRight">
    <w:name w:val="Body Small Right"/>
    <w:basedOn w:val="BodyTextRight"/>
    <w:rsid w:val="002141E6"/>
    <w:rPr>
      <w:sz w:val="18"/>
      <w:szCs w:val="18"/>
    </w:rPr>
  </w:style>
  <w:style w:type="paragraph" w:customStyle="1" w:styleId="MarginEdition">
    <w:name w:val="Margin Edition"/>
    <w:basedOn w:val="MarginNote"/>
    <w:rsid w:val="00214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1E6"/>
    <w:rPr>
      <w:sz w:val="2"/>
      <w:szCs w:val="2"/>
    </w:rPr>
  </w:style>
  <w:style w:type="character" w:customStyle="1" w:styleId="Small">
    <w:name w:val="Small"/>
    <w:basedOn w:val="DefaultParagraphFont"/>
    <w:rsid w:val="002141E6"/>
    <w:rPr>
      <w:sz w:val="16"/>
    </w:rPr>
  </w:style>
  <w:style w:type="paragraph" w:customStyle="1" w:styleId="WideTable">
    <w:name w:val="Wide Table"/>
    <w:basedOn w:val="Normal"/>
    <w:rsid w:val="00214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1E6"/>
  </w:style>
  <w:style w:type="paragraph" w:styleId="Quote">
    <w:name w:val="Quote"/>
    <w:basedOn w:val="Heading1"/>
    <w:link w:val="QuoteChar"/>
    <w:qFormat/>
    <w:rsid w:val="00214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1E6"/>
    <w:pPr>
      <w:pageBreakBefore/>
    </w:pPr>
  </w:style>
  <w:style w:type="paragraph" w:customStyle="1" w:styleId="Border">
    <w:name w:val="Border"/>
    <w:basedOn w:val="Normal"/>
    <w:qFormat/>
    <w:rsid w:val="00214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1E6"/>
    <w:rPr>
      <w:u w:val="single"/>
    </w:rPr>
  </w:style>
  <w:style w:type="character" w:customStyle="1" w:styleId="BoldandItalics">
    <w:name w:val="Bold and Italics"/>
    <w:qFormat/>
    <w:rsid w:val="002141E6"/>
    <w:rPr>
      <w:b/>
      <w:i/>
      <w:u w:val="none"/>
    </w:rPr>
  </w:style>
  <w:style w:type="paragraph" w:styleId="BalloonText">
    <w:name w:val="Balloon Text"/>
    <w:basedOn w:val="Normal"/>
    <w:link w:val="BalloonTextChar"/>
    <w:rsid w:val="00214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1E6"/>
    <w:pPr>
      <w:spacing w:before="0" w:after="0"/>
    </w:pPr>
  </w:style>
  <w:style w:type="paragraph" w:customStyle="1" w:styleId="BodyTextBold">
    <w:name w:val="Body Text Bold"/>
    <w:basedOn w:val="BodyText"/>
    <w:qFormat/>
    <w:rsid w:val="002141E6"/>
    <w:rPr>
      <w:b/>
    </w:rPr>
  </w:style>
  <w:style w:type="character" w:styleId="Hyperlink">
    <w:name w:val="Hyperlink"/>
    <w:basedOn w:val="DefaultParagraphFont"/>
    <w:uiPriority w:val="99"/>
    <w:unhideWhenUsed/>
    <w:rsid w:val="00656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4165</Characters>
  <Application>Microsoft Office Word</Application>
  <DocSecurity>0</DocSecurity>
  <Lines>208</Lines>
  <Paragraphs>94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TLIX0072 Organise health support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