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1FD" w:rsidP="00FB1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TLIX0072 Organise health support operations</w:t>
      </w:r>
      <w:r>
        <w:fldChar w:fldCharType="end"/>
      </w:r>
    </w:p>
    <w:p w:rsidR="00FB11FD" w:rsidP="00FB11FD">
      <w:pPr>
        <w:pStyle w:val="Version"/>
        <w:sectPr w:rsidSect="00AA4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A8D" w:rsidP="00AA4A8D">
      <w:pPr>
        <w:pStyle w:val="SuperHeading"/>
      </w:pPr>
      <w:r w:rsidRPr="00AA4A8D">
        <w:t>TLIX0072 Organise health support operations</w:t>
      </w:r>
    </w:p>
    <w:p w:rsidR="00000000" w:rsidRPr="00AA4A8D" w:rsidP="00AA4A8D">
      <w:pPr>
        <w:pStyle w:val="Heading1"/>
      </w:pPr>
      <w:bookmarkStart w:id="1" w:name="O_1269134"/>
      <w:bookmarkEnd w:id="1"/>
      <w:r w:rsidRPr="00AA4A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>Release 1.</w:t>
            </w:r>
            <w:r w:rsidRPr="00AA4A8D">
              <w:t xml:space="preserve"> This is the first release of this unit of competency in the TLI Transport and Logistics Training Package.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2" w:name="O_1269135"/>
      <w:bookmarkEnd w:id="2"/>
      <w:r w:rsidRPr="00AA4A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This unit involves the skills and knowledge required to organise health supp</w:t>
            </w:r>
            <w:r w:rsidRPr="00AA4A8D">
              <w:t xml:space="preserve">ort operations. </w:t>
            </w:r>
          </w:p>
          <w:p w:rsidR="00000000" w:rsidRPr="00AA4A8D" w:rsidP="00AA4A8D">
            <w:pPr>
              <w:pStyle w:val="BodyText"/>
            </w:pPr>
            <w:r w:rsidRPr="00AA4A8D">
              <w:t>It includes preparing for health support operations, managing evacuation support and managing health support.</w:t>
            </w:r>
          </w:p>
          <w:p w:rsidR="00000000" w:rsidRPr="00AA4A8D" w:rsidP="00AA4A8D">
            <w:pPr>
              <w:pStyle w:val="BodyText"/>
            </w:pPr>
            <w:r w:rsidRPr="00AA4A8D">
              <w:t xml:space="preserve">This unit is applicable to logistics personnel responsible for organising and managing the delivery of health support in a field </w:t>
            </w:r>
            <w:r w:rsidRPr="00AA4A8D">
              <w:t>deployment context.</w:t>
            </w:r>
          </w:p>
          <w:p w:rsidR="00000000" w:rsidRPr="00AA4A8D" w:rsidP="00AA4A8D">
            <w:pPr>
              <w:pStyle w:val="BodyText"/>
            </w:pPr>
            <w:r w:rsidRPr="00AA4A8D">
              <w:t>People who undertake this unit will usually be a clinician or a health care provider. This role requires management and leadership skills.</w:t>
            </w:r>
          </w:p>
          <w:p w:rsidR="00000000" w:rsidRPr="00AA4A8D" w:rsidP="00AA4A8D">
            <w:pPr>
              <w:pStyle w:val="BodyText"/>
            </w:pPr>
            <w:r w:rsidRPr="00AA4A8D">
              <w:t>Health elements may be comprised of a range of health capability from different disciplines (such</w:t>
            </w:r>
            <w:r w:rsidRPr="00AA4A8D">
              <w:t xml:space="preserve"> as dental, pathology, surgical), which, when brought together, form a comprehensive health support organisation. The composition of this health support organisation will be guided by the type and scale of operation. </w:t>
            </w:r>
          </w:p>
          <w:p w:rsidR="00000000" w:rsidRPr="00AA4A8D" w:rsidP="00AA4A8D">
            <w:pPr>
              <w:pStyle w:val="BodyText"/>
            </w:pPr>
            <w:r w:rsidRPr="00AA4A8D">
              <w:t>No licensing, legislative or certifica</w:t>
            </w:r>
            <w:r w:rsidRPr="00AA4A8D">
              <w:t>tion requirements apply to this unit at the time of publication.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3" w:name="O_1269136"/>
      <w:bookmarkEnd w:id="3"/>
      <w:r w:rsidRPr="00AA4A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Not applicable.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4" w:name="O_1269137"/>
      <w:bookmarkEnd w:id="4"/>
      <w:r w:rsidRPr="00AA4A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X – Logistics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5" w:name="O_1269138"/>
      <w:bookmarkEnd w:id="5"/>
      <w:r w:rsidRPr="00AA4A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Not applicable.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6" w:name="O_1269139"/>
      <w:bookmarkEnd w:id="6"/>
      <w:r w:rsidRPr="00AA4A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6"/>
        <w:gridCol w:w="2609"/>
        <w:gridCol w:w="1439"/>
        <w:gridCol w:w="4653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Elements describe the essential outcomes.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Performance criteria describe the performance needed to demonstrate achievement of the element.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>1</w:t>
            </w:r>
          </w:p>
        </w:tc>
        <w:tc>
          <w:tcPr>
            <w:tcW w:w="26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 xml:space="preserve">Prepare for health </w:t>
            </w:r>
            <w:r w:rsidRPr="00AA4A8D">
              <w:rPr>
                <w:rStyle w:val="SpecialBold"/>
              </w:rPr>
              <w:t>support operations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1.1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 xml:space="preserve">Information is sourced and analysed to </w:t>
            </w:r>
            <w:r w:rsidRPr="00AA4A8D">
              <w:t>identify health factors to be considered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1.2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Considerations of production or maintenance planning are applied to derive the most efficient employment of health element equipment and personnel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1.3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Maintenance of health equipment is scheduled within the constraints of delivering health support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1.4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Health personnel are monitored to ensure competence, authorisation and readiness to provide health care support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1.5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Principles are applied to prepara</w:t>
            </w:r>
            <w:r w:rsidRPr="00AA4A8D">
              <w:t>tion and planning of health support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1.6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Instructions are prepared and delivered to implement and coordinate health support operations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1.7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Technical advice is provided to relevant personnel and stakeholders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>2</w:t>
            </w:r>
          </w:p>
        </w:tc>
        <w:tc>
          <w:tcPr>
            <w:tcW w:w="26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>Manage evacuation support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2.1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Evacuation planning factors are taken into consideration when planning and compiling an evacuation task order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2.2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Evacuation assets are maintained in a state of high readiness to respond to evacuation tasking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2.3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Processes and procedures are established to enable despatch and control of evacuation assets in response to tasking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2.4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Evacuation support is delivered to ensure continuity of care to casualties requiring evacuation via the health element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2.5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Evacuat</w:t>
            </w:r>
            <w:r w:rsidRPr="00AA4A8D">
              <w:t>ion support is delivered within operational environment constraints allowing for appropriate security and protection of evacuation assets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2.6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Reception and despatch of casualties with other evacuation modes is coordinated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>3</w:t>
            </w:r>
          </w:p>
        </w:tc>
        <w:tc>
          <w:tcPr>
            <w:tcW w:w="26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>Manage health support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3.1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Interrelationship between health elements is managed to enable continuity of care as patient transitions through different care agencies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3.2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Health care specialists and providers are consulted to ensure patient holding is appropriate and is balanced wit</w:t>
            </w:r>
            <w:r w:rsidRPr="00AA4A8D">
              <w:t>h care required and needed to maintain health element mobility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3.3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Patient tracking is managed to ensure accurate picture of patient status at all times and to ensure personnel administrative system is informed of patient movements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3.4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Health records are maintained to enable accurate recording of care provided and basis for review and ongoing treatment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Health logistics are managed to ensure health resources available for care are consistent with care required and capability of hea</w:t>
            </w:r>
            <w:r w:rsidRPr="00AA4A8D">
              <w:t>lth element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3.6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Health related reports and returns are prepared and submitted to assist with organisational health planning and coordination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3.7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Health support delivery is applied in accordance with conventions, laws and organisational procedures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>
            <w:pPr>
              <w:pStyle w:val="BodyText"/>
              <w:keepLines w:val="0"/>
              <w:spacing w:before="0" w:after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rPr>
                <w:rStyle w:val="SpecialBold"/>
              </w:rPr>
              <w:t>3.8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Welfare and administration of patients and health element personnel is monitored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7" w:name="O_1269141"/>
      <w:bookmarkEnd w:id="7"/>
      <w:r w:rsidRPr="00AA4A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Foundation skills essential to performance are explicit in the performance criteria of this unit of competency.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8" w:name="O_1269143"/>
      <w:bookmarkEnd w:id="8"/>
      <w:r w:rsidRPr="00AA4A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Range is restricted to essential operating conditions and any other variables essential to the work environment.</w:t>
            </w:r>
          </w:p>
          <w:p w:rsidR="00000000" w:rsidRPr="00AA4A8D" w:rsidP="00AA4A8D">
            <w:pPr>
              <w:pStyle w:val="BodyText"/>
            </w:pPr>
            <w:r w:rsidRPr="00AA4A8D">
              <w:t>Non-essential conditions can be found in the Companion Volume Implementation Guide.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9" w:name="O_1269145"/>
      <w:bookmarkEnd w:id="9"/>
      <w:r w:rsidRPr="00AA4A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This unit replaces and is equivalent to TLIX5044 Organise health support operations.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10" w:name="O_1269159"/>
      <w:bookmarkEnd w:id="10"/>
      <w:r w:rsidRPr="00AA4A8D">
        <w:t>Links</w:t>
      </w:r>
    </w:p>
    <w:p w:rsidR="00000000" w:rsidRPr="00AA4A8D" w:rsidP="00FB11FD">
      <w:pPr>
        <w:pStyle w:val="BodyText"/>
      </w:pPr>
      <w:r w:rsidRPr="00AA4A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7F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4A8D" w:rsidP="00FB11FD">
      <w:pPr>
        <w:pStyle w:val="BodyText"/>
        <w:sectPr w:rsidSect="00AA4A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A8D" w:rsidP="00AA4A8D">
      <w:pPr>
        <w:pStyle w:val="SuperHeading"/>
      </w:pPr>
      <w:r w:rsidRPr="00AA4A8D">
        <w:t>Assessment Requirements for TLIX0072 Organise health support operations</w:t>
      </w:r>
    </w:p>
    <w:p w:rsidR="00000000" w:rsidRPr="00AA4A8D" w:rsidP="00AA4A8D">
      <w:pPr>
        <w:pStyle w:val="Heading1"/>
      </w:pPr>
      <w:bookmarkStart w:id="11" w:name="O_1269150"/>
      <w:bookmarkEnd w:id="11"/>
      <w:r w:rsidRPr="00AA4A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rPr>
                <w:rStyle w:val="SpecialBold"/>
              </w:rPr>
              <w:t>Release 1.</w:t>
            </w:r>
            <w:r w:rsidRPr="00AA4A8D">
              <w:t xml:space="preserve"> This is the first release of this unit of competency in the </w:t>
            </w:r>
            <w:r w:rsidRPr="00AA4A8D">
              <w:t>TLI Transport and Logistics Training Package.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12" w:name="O_1269152"/>
      <w:bookmarkEnd w:id="12"/>
      <w:r w:rsidRPr="00AA4A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Evidence required to demonstrate competence in this unit must be relevant to and satisfy all the requirements of the elements and performance criteria on at least one o</w:t>
            </w:r>
            <w:r w:rsidRPr="00AA4A8D">
              <w:t>ccasion and include: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ListBullet"/>
            </w:pPr>
            <w:r w:rsidRPr="00AA4A8D">
              <w:t>applying knowledge of health planning and coordination</w:t>
            </w:r>
          </w:p>
          <w:p w:rsidR="00000000" w:rsidRPr="00AA4A8D" w:rsidP="00AA4A8D">
            <w:pPr>
              <w:pStyle w:val="ListBullet"/>
            </w:pPr>
            <w:r w:rsidRPr="00AA4A8D">
              <w:t>applying health planning tools to inform health planning</w:t>
            </w:r>
          </w:p>
          <w:p w:rsidR="00000000" w:rsidRPr="00AA4A8D" w:rsidP="00AA4A8D">
            <w:pPr>
              <w:pStyle w:val="ListBullet"/>
            </w:pPr>
            <w:r w:rsidRPr="00AA4A8D">
              <w:t>consulting with health care clinicians and providers</w:t>
            </w:r>
          </w:p>
          <w:p w:rsidR="00000000" w:rsidRPr="00AA4A8D" w:rsidP="00AA4A8D">
            <w:pPr>
              <w:pStyle w:val="ListBullet"/>
            </w:pPr>
            <w:r w:rsidRPr="00AA4A8D">
              <w:t>delivering clear, concise, accurate and authoritative instructions</w:t>
            </w:r>
          </w:p>
          <w:p w:rsidR="00000000" w:rsidRPr="00AA4A8D" w:rsidP="00AA4A8D">
            <w:pPr>
              <w:pStyle w:val="ListBullet"/>
            </w:pPr>
            <w:r w:rsidRPr="00AA4A8D">
              <w:t>identifying relationships between organisational goals and recognising how own planning contributes to achieving these goals</w:t>
            </w:r>
          </w:p>
          <w:p w:rsidR="00000000" w:rsidRPr="00AA4A8D" w:rsidP="00AA4A8D">
            <w:pPr>
              <w:pStyle w:val="ListBullet"/>
            </w:pPr>
            <w:r w:rsidRPr="00AA4A8D">
              <w:t>leading clinicians</w:t>
            </w:r>
          </w:p>
          <w:p w:rsidR="00000000" w:rsidRPr="00AA4A8D" w:rsidP="00AA4A8D">
            <w:pPr>
              <w:pStyle w:val="ListBullet"/>
            </w:pPr>
            <w:r w:rsidRPr="00AA4A8D">
              <w:t>liaising with external agencies to coordinate health support</w:t>
            </w:r>
          </w:p>
          <w:p w:rsidR="00000000" w:rsidRPr="00AA4A8D" w:rsidP="00AA4A8D">
            <w:pPr>
              <w:pStyle w:val="ListBullet"/>
            </w:pPr>
            <w:r w:rsidRPr="00AA4A8D">
              <w:t>preparing health related reports and returns</w:t>
            </w:r>
          </w:p>
          <w:p w:rsidR="00000000" w:rsidRPr="00AA4A8D" w:rsidP="00AA4A8D">
            <w:pPr>
              <w:pStyle w:val="ListBullet"/>
            </w:pPr>
            <w:r w:rsidRPr="00AA4A8D">
              <w:t>superv</w:t>
            </w:r>
            <w:r w:rsidRPr="00AA4A8D">
              <w:t>ising health care workers</w:t>
            </w:r>
          </w:p>
          <w:p w:rsidR="00000000" w:rsidRPr="00AA4A8D" w:rsidP="00AA4A8D">
            <w:pPr>
              <w:pStyle w:val="ListBullet"/>
            </w:pPr>
            <w:r w:rsidRPr="00AA4A8D">
              <w:t>using information management systems</w:t>
            </w:r>
          </w:p>
          <w:p w:rsidR="00000000" w:rsidRPr="00AA4A8D" w:rsidP="00AA4A8D">
            <w:pPr>
              <w:pStyle w:val="ListBullet"/>
            </w:pPr>
            <w:r w:rsidRPr="00AA4A8D">
              <w:t>working closely with a senior clinical officer to coordinate health support.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13" w:name="O_1269154"/>
      <w:bookmarkEnd w:id="13"/>
      <w:r w:rsidRPr="00AA4A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8D">
            <w:pPr>
              <w:pStyle w:val="BodyText"/>
              <w:rPr>
                <w:lang w:val="en-NZ"/>
              </w:rPr>
            </w:pPr>
            <w:r w:rsidRPr="00AA4A8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ListBullet"/>
            </w:pPr>
            <w:r w:rsidRPr="00AA4A8D">
              <w:t>health stores and equipment resupply systems and procedures</w:t>
            </w:r>
          </w:p>
          <w:p w:rsidR="00000000" w:rsidRPr="00AA4A8D" w:rsidP="00AA4A8D">
            <w:pPr>
              <w:pStyle w:val="ListBullet"/>
            </w:pPr>
            <w:r w:rsidRPr="00AA4A8D">
              <w:t>legislative and r</w:t>
            </w:r>
            <w:r w:rsidRPr="00AA4A8D">
              <w:t>egulatory environment as it relates to materiel logistics</w:t>
            </w:r>
          </w:p>
          <w:p w:rsidR="00000000" w:rsidRPr="00AA4A8D" w:rsidP="00AA4A8D">
            <w:pPr>
              <w:pStyle w:val="ListBullet"/>
            </w:pPr>
            <w:r w:rsidRPr="00AA4A8D">
              <w:t>logistics support analysis principles and processes</w:t>
            </w:r>
          </w:p>
          <w:p w:rsidR="00000000" w:rsidRPr="00AA4A8D" w:rsidP="00AA4A8D">
            <w:pPr>
              <w:pStyle w:val="ListBullet"/>
            </w:pPr>
            <w:r w:rsidRPr="00AA4A8D">
              <w:t>organisational policy and procedures</w:t>
            </w:r>
          </w:p>
          <w:p w:rsidR="00000000" w:rsidRPr="00AA4A8D" w:rsidP="00AA4A8D">
            <w:pPr>
              <w:pStyle w:val="ListBullet"/>
            </w:pPr>
            <w:r w:rsidRPr="00AA4A8D">
              <w:t>organisational role relevant to specialist logistic support</w:t>
            </w:r>
          </w:p>
          <w:p w:rsidR="00000000" w:rsidRPr="00AA4A8D" w:rsidP="00AA4A8D">
            <w:pPr>
              <w:pStyle w:val="ListBullet"/>
            </w:pPr>
            <w:r w:rsidRPr="00AA4A8D">
              <w:t>patient tracking and administration</w:t>
            </w:r>
          </w:p>
          <w:p w:rsidR="00000000" w:rsidRPr="00AA4A8D" w:rsidP="00AA4A8D">
            <w:pPr>
              <w:pStyle w:val="ListBullet"/>
            </w:pPr>
            <w:r w:rsidRPr="00AA4A8D">
              <w:t>planning proc</w:t>
            </w:r>
            <w:r w:rsidRPr="00AA4A8D">
              <w:t>esses for health support operations</w:t>
            </w:r>
          </w:p>
          <w:p w:rsidR="00000000" w:rsidRPr="00AA4A8D" w:rsidP="00AA4A8D">
            <w:pPr>
              <w:pStyle w:val="ListBullet"/>
            </w:pPr>
            <w:r w:rsidRPr="00AA4A8D">
              <w:t>policy and procedures relating to evacuation</w:t>
            </w:r>
          </w:p>
          <w:p w:rsidR="00000000" w:rsidRPr="00AA4A8D" w:rsidP="00AA4A8D">
            <w:pPr>
              <w:pStyle w:val="ListBullet"/>
            </w:pPr>
            <w:r w:rsidRPr="00AA4A8D">
              <w:t>preparedness requirements of health care workers</w:t>
            </w:r>
          </w:p>
          <w:p w:rsidR="00000000" w:rsidRPr="00AA4A8D" w:rsidP="00AA4A8D">
            <w:pPr>
              <w:pStyle w:val="ListBullet"/>
            </w:pPr>
            <w:r w:rsidRPr="00AA4A8D">
              <w:t xml:space="preserve">principles of health support </w:t>
            </w:r>
          </w:p>
          <w:p w:rsidR="00000000" w:rsidRPr="00AA4A8D" w:rsidP="00AA4A8D">
            <w:pPr>
              <w:pStyle w:val="ListBullet"/>
            </w:pPr>
            <w:r w:rsidRPr="00AA4A8D">
              <w:t>requirements relating to managing health waste</w:t>
            </w:r>
          </w:p>
          <w:p w:rsidR="00000000" w:rsidRPr="00AA4A8D" w:rsidP="00AA4A8D">
            <w:pPr>
              <w:pStyle w:val="ListBullet"/>
            </w:pPr>
            <w:r w:rsidRPr="00AA4A8D">
              <w:t>supplying, handling and storing medical and health products</w:t>
            </w:r>
          </w:p>
          <w:p w:rsidR="00000000" w:rsidRPr="00AA4A8D" w:rsidP="00AA4A8D">
            <w:pPr>
              <w:pStyle w:val="ListBullet"/>
            </w:pPr>
            <w:r w:rsidRPr="00AA4A8D">
              <w:t>tasks and composition of health elements and their points of interaction.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14" w:name="O_1269155"/>
      <w:bookmarkEnd w:id="14"/>
      <w:r w:rsidRPr="00AA4A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A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8D" w:rsidP="00AA4A8D">
            <w:pPr>
              <w:pStyle w:val="BodyText"/>
            </w:pPr>
            <w:r w:rsidRPr="00AA4A8D">
              <w:t>Assessors must hold credentials specified within the Standards for Registered T</w:t>
            </w:r>
            <w:r w:rsidRPr="00AA4A8D">
              <w:t xml:space="preserve">raining Organisations current at the time of assessment. </w:t>
            </w:r>
          </w:p>
          <w:p w:rsidR="00000000" w:rsidRPr="00AA4A8D" w:rsidP="00AA4A8D">
            <w:pPr>
              <w:pStyle w:val="BodyText"/>
            </w:pPr>
            <w:r w:rsidRPr="00AA4A8D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AA4A8D">
              <w:t>assessment.</w:t>
            </w:r>
          </w:p>
          <w:p w:rsidR="00000000" w:rsidRPr="00AA4A8D" w:rsidP="00AA4A8D">
            <w:pPr>
              <w:pStyle w:val="BodyText"/>
            </w:pPr>
            <w:r w:rsidRPr="00AA4A8D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A4A8D" w:rsidP="00AA4A8D">
            <w:pPr>
              <w:pStyle w:val="BodyText"/>
            </w:pPr>
            <w:r w:rsidRPr="00AA4A8D">
              <w:t>Assessment proce</w:t>
            </w:r>
            <w:r w:rsidRPr="00AA4A8D">
              <w:t>sses and techniques must be appropriate to the language, literacy and numeracy requirements of the work being performed and the needs of the candidate.</w:t>
            </w:r>
          </w:p>
          <w:p w:rsidR="00000000" w:rsidRPr="00AA4A8D" w:rsidP="00AA4A8D">
            <w:pPr>
              <w:pStyle w:val="BodyText"/>
            </w:pPr>
            <w:r w:rsidRPr="00AA4A8D">
              <w:t>Resources for assessment must include access to:</w:t>
            </w:r>
          </w:p>
          <w:p w:rsidR="00000000" w:rsidRPr="00AA4A8D" w:rsidP="00AA4A8D">
            <w:pPr>
              <w:pStyle w:val="ListBullet"/>
            </w:pPr>
            <w:r w:rsidRPr="00AA4A8D">
              <w:t>relevant and appropriate materials, tools, equipment and personal protective equipment currently used in industry</w:t>
            </w:r>
          </w:p>
          <w:p w:rsidR="00000000" w:rsidRPr="00AA4A8D" w:rsidP="00AA4A8D">
            <w:pPr>
              <w:pStyle w:val="ListBullet"/>
            </w:pPr>
            <w:r w:rsidRPr="00AA4A8D">
              <w:t>applicable documentation including legislation, regulations, codes of practice, workplace procedures and operation manuals.</w:t>
            </w:r>
          </w:p>
        </w:tc>
      </w:tr>
    </w:tbl>
    <w:p w:rsidR="00000000" w:rsidRPr="00AA4A8D" w:rsidP="00AA4A8D">
      <w:pPr>
        <w:pStyle w:val="NoPaddingFontSize1"/>
      </w:pPr>
    </w:p>
    <w:p w:rsidR="00000000" w:rsidRPr="00AA4A8D" w:rsidP="00AA4A8D">
      <w:pPr>
        <w:pStyle w:val="AllowPageBreak"/>
      </w:pPr>
    </w:p>
    <w:p w:rsidR="00000000" w:rsidRPr="00AA4A8D" w:rsidP="00AA4A8D">
      <w:pPr>
        <w:pStyle w:val="Heading1"/>
      </w:pPr>
      <w:bookmarkStart w:id="15" w:name="O_1269160"/>
      <w:bookmarkEnd w:id="15"/>
      <w:r w:rsidRPr="00AA4A8D">
        <w:t>Links</w:t>
      </w:r>
    </w:p>
    <w:p w:rsidR="00000000" w:rsidRPr="00AA4A8D" w:rsidP="00FB11FD">
      <w:pPr>
        <w:pStyle w:val="BodyText"/>
      </w:pPr>
      <w:r w:rsidRPr="00AA4A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7F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4A8D" w:rsidP="00AA4A8D"/>
    <w:sectPr w:rsidSect="00AA4A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8D" w:rsidRPr="00FB11FD" w:rsidP="00FB1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 w:rsidP="00AA4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11FD" w:rsidP="00AA4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11FD" w:rsidP="00AA4A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8D" w:rsidP="00AA4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11FD">
      <w:t>Approved</w:t>
    </w:r>
    <w:r w:rsidR="00FB11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11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11FD">
      <w:rPr>
        <w:noProof/>
      </w:rPr>
      <w:t>5</w:t>
    </w:r>
    <w:r>
      <w:rPr>
        <w:noProof/>
      </w:rPr>
      <w:fldChar w:fldCharType="end"/>
    </w:r>
  </w:p>
  <w:p w:rsidR="00AA4A8D" w:rsidP="00AA4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11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11FD">
      <w:t>Industry Skills Australia</w:t>
    </w:r>
    <w:r w:rsidR="00FB11FD">
      <w:fldChar w:fldCharType="end"/>
    </w:r>
  </w:p>
  <w:p w:rsidR="00AA4A8D" w:rsidP="00AA4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A8D" w:rsidRPr="00FB11FD" w:rsidP="00FB1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 w:rsidRPr="002D2AF8" w:rsidP="00AA4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TLIX0072 Organise health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11FD" w:rsidP="00AA4A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8D" w:rsidRPr="002D2AF8" w:rsidP="00AA4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11FD">
      <w:t>TLIX0072 Organise health support operations</w:t>
    </w:r>
    <w:r w:rsidR="00FB11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11FD">
      <w:rPr>
        <w:noProof/>
      </w:rPr>
      <w:t>1 March 2025</w:t>
    </w:r>
    <w:r>
      <w:fldChar w:fldCharType="end"/>
    </w:r>
  </w:p>
  <w:p w:rsidR="00AA4A8D" w:rsidP="00AA4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208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EEF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A8D"/>
  </w:style>
  <w:style w:type="character" w:customStyle="1" w:styleId="Heading1Char">
    <w:name w:val="Heading 1 Char"/>
    <w:basedOn w:val="DefaultParagraphFont"/>
    <w:link w:val="Heading1"/>
    <w:rsid w:val="00AA4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A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A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A8D"/>
    <w:rPr>
      <w:b/>
      <w:spacing w:val="0"/>
    </w:rPr>
  </w:style>
  <w:style w:type="paragraph" w:customStyle="1" w:styleId="SuperHeading">
    <w:name w:val="SuperHeading"/>
    <w:basedOn w:val="Normal"/>
    <w:rsid w:val="00AA4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4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A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A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A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A8D"/>
    <w:rPr>
      <w:i/>
    </w:rPr>
  </w:style>
  <w:style w:type="paragraph" w:styleId="Caption">
    <w:name w:val="caption"/>
    <w:basedOn w:val="BodyText"/>
    <w:next w:val="Normal"/>
    <w:qFormat/>
    <w:rsid w:val="00AA4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A8D"/>
  </w:style>
  <w:style w:type="paragraph" w:styleId="TableofFigures">
    <w:name w:val="table of figures"/>
    <w:basedOn w:val="Normal"/>
    <w:next w:val="Normal"/>
    <w:semiHidden/>
    <w:rsid w:val="00AA4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A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4A8D"/>
    <w:rPr>
      <w:rFonts w:ascii="Wingdings" w:hAnsi="Wingdings"/>
    </w:rPr>
  </w:style>
  <w:style w:type="paragraph" w:customStyle="1" w:styleId="TableHeading">
    <w:name w:val="Table Heading"/>
    <w:basedOn w:val="HeadingBase"/>
    <w:rsid w:val="00AA4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A8D"/>
    <w:rPr>
      <w:color w:val="0033CC"/>
      <w:u w:val="none"/>
    </w:rPr>
  </w:style>
  <w:style w:type="paragraph" w:customStyle="1" w:styleId="BodyTextRight">
    <w:name w:val="Body Text Right"/>
    <w:basedOn w:val="BodyText"/>
    <w:rsid w:val="00AA4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A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A8D"/>
    <w:rPr>
      <w:sz w:val="32"/>
    </w:rPr>
  </w:style>
  <w:style w:type="paragraph" w:customStyle="1" w:styleId="HeadingProcedure">
    <w:name w:val="Heading Procedure"/>
    <w:basedOn w:val="HeadingBase"/>
    <w:next w:val="Normal"/>
    <w:rsid w:val="00AA4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A8D"/>
    <w:pPr>
      <w:spacing w:before="60" w:after="60"/>
    </w:pPr>
  </w:style>
  <w:style w:type="paragraph" w:styleId="ListContinue">
    <w:name w:val="List Continue"/>
    <w:basedOn w:val="List"/>
    <w:rsid w:val="00AA4A8D"/>
    <w:pPr>
      <w:ind w:firstLine="0"/>
    </w:pPr>
  </w:style>
  <w:style w:type="paragraph" w:customStyle="1" w:styleId="ListNote">
    <w:name w:val="List Note"/>
    <w:basedOn w:val="List"/>
    <w:rsid w:val="00AA4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A8D"/>
    <w:rPr>
      <w:rFonts w:ascii="Courier New" w:hAnsi="Courier New"/>
    </w:rPr>
  </w:style>
  <w:style w:type="paragraph" w:customStyle="1" w:styleId="NoteBullet">
    <w:name w:val="Note Bullet"/>
    <w:basedOn w:val="Note"/>
    <w:rsid w:val="00AA4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A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4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A8D"/>
    <w:rPr>
      <w:b/>
      <w:smallCaps/>
    </w:rPr>
  </w:style>
  <w:style w:type="paragraph" w:customStyle="1" w:styleId="TableListNumber">
    <w:name w:val="Table List Number"/>
    <w:basedOn w:val="ListNumber"/>
    <w:rsid w:val="00AA4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A8D"/>
    <w:pPr>
      <w:numPr>
        <w:numId w:val="8"/>
      </w:numPr>
    </w:pPr>
  </w:style>
  <w:style w:type="paragraph" w:customStyle="1" w:styleId="ListAlpha2">
    <w:name w:val="List Alpha 2"/>
    <w:basedOn w:val="List2"/>
    <w:rsid w:val="00AA4A8D"/>
    <w:pPr>
      <w:numPr>
        <w:numId w:val="7"/>
      </w:numPr>
    </w:pPr>
  </w:style>
  <w:style w:type="paragraph" w:styleId="List2">
    <w:name w:val="List 2"/>
    <w:basedOn w:val="BodyText"/>
    <w:rsid w:val="00AA4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A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A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A8D"/>
    <w:pPr>
      <w:numPr>
        <w:numId w:val="3"/>
      </w:numPr>
    </w:pPr>
  </w:style>
  <w:style w:type="paragraph" w:styleId="ListContinue2">
    <w:name w:val="List Continue 2"/>
    <w:basedOn w:val="List2"/>
    <w:rsid w:val="00AA4A8D"/>
    <w:pPr>
      <w:ind w:firstLine="0"/>
    </w:pPr>
  </w:style>
  <w:style w:type="paragraph" w:styleId="ListContinue3">
    <w:name w:val="List Continue 3"/>
    <w:basedOn w:val="List3"/>
    <w:rsid w:val="00AA4A8D"/>
    <w:pPr>
      <w:ind w:left="1021" w:firstLine="0"/>
    </w:pPr>
  </w:style>
  <w:style w:type="paragraph" w:styleId="ListContinue4">
    <w:name w:val="List Continue 4"/>
    <w:basedOn w:val="List4"/>
    <w:rsid w:val="00AA4A8D"/>
    <w:pPr>
      <w:ind w:firstLine="0"/>
    </w:pPr>
  </w:style>
  <w:style w:type="paragraph" w:styleId="ListContinue5">
    <w:name w:val="List Continue 5"/>
    <w:basedOn w:val="List5"/>
    <w:rsid w:val="00AA4A8D"/>
    <w:pPr>
      <w:ind w:firstLine="0"/>
    </w:pPr>
  </w:style>
  <w:style w:type="paragraph" w:styleId="ListNumber3">
    <w:name w:val="List Number 3"/>
    <w:basedOn w:val="List3"/>
    <w:rsid w:val="00AA4A8D"/>
    <w:pPr>
      <w:numPr>
        <w:numId w:val="4"/>
      </w:numPr>
    </w:pPr>
  </w:style>
  <w:style w:type="paragraph" w:styleId="ListNumber4">
    <w:name w:val="List Number 4"/>
    <w:basedOn w:val="List4"/>
    <w:rsid w:val="00AA4A8D"/>
    <w:pPr>
      <w:numPr>
        <w:numId w:val="5"/>
      </w:numPr>
    </w:pPr>
  </w:style>
  <w:style w:type="paragraph" w:styleId="ListNumber5">
    <w:name w:val="List Number 5"/>
    <w:basedOn w:val="List5"/>
    <w:rsid w:val="00AA4A8D"/>
    <w:pPr>
      <w:numPr>
        <w:numId w:val="6"/>
      </w:numPr>
    </w:pPr>
  </w:style>
  <w:style w:type="paragraph" w:styleId="BlockText">
    <w:name w:val="Block Text"/>
    <w:basedOn w:val="Normal"/>
    <w:rsid w:val="00AA4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A8D"/>
    <w:rPr>
      <w:sz w:val="16"/>
      <w:vertAlign w:val="superscript"/>
    </w:rPr>
  </w:style>
  <w:style w:type="character" w:customStyle="1" w:styleId="Symbols">
    <w:name w:val="Symbols"/>
    <w:basedOn w:val="DefaultParagraphFont"/>
    <w:rsid w:val="00AA4A8D"/>
    <w:rPr>
      <w:rFonts w:ascii="Symbol" w:hAnsi="Symbol"/>
    </w:rPr>
  </w:style>
  <w:style w:type="character" w:customStyle="1" w:styleId="MenuOptions">
    <w:name w:val="Menu Options"/>
    <w:basedOn w:val="DefaultParagraphFont"/>
    <w:rsid w:val="00AA4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A8D"/>
    <w:rPr>
      <w:b/>
    </w:rPr>
  </w:style>
  <w:style w:type="character" w:customStyle="1" w:styleId="Underlined">
    <w:name w:val="Underlined"/>
    <w:basedOn w:val="DefaultParagraphFont"/>
    <w:rsid w:val="00AA4A8D"/>
    <w:rPr>
      <w:u w:val="single"/>
    </w:rPr>
  </w:style>
  <w:style w:type="paragraph" w:customStyle="1" w:styleId="TableBodyTextRight">
    <w:name w:val="Table Body Text Right"/>
    <w:basedOn w:val="TableBodyText"/>
    <w:rsid w:val="00AA4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A8D"/>
    <w:rPr>
      <w:sz w:val="18"/>
    </w:rPr>
  </w:style>
  <w:style w:type="paragraph" w:customStyle="1" w:styleId="BodySmallRight">
    <w:name w:val="Body Small Right"/>
    <w:basedOn w:val="BodyTextRight"/>
    <w:rsid w:val="00AA4A8D"/>
    <w:rPr>
      <w:sz w:val="18"/>
      <w:szCs w:val="18"/>
    </w:rPr>
  </w:style>
  <w:style w:type="paragraph" w:customStyle="1" w:styleId="MarginEdition">
    <w:name w:val="Margin Edition"/>
    <w:basedOn w:val="MarginNote"/>
    <w:rsid w:val="00AA4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A8D"/>
    <w:rPr>
      <w:sz w:val="2"/>
      <w:szCs w:val="2"/>
    </w:rPr>
  </w:style>
  <w:style w:type="character" w:customStyle="1" w:styleId="Small">
    <w:name w:val="Small"/>
    <w:basedOn w:val="DefaultParagraphFont"/>
    <w:rsid w:val="00AA4A8D"/>
    <w:rPr>
      <w:sz w:val="16"/>
    </w:rPr>
  </w:style>
  <w:style w:type="paragraph" w:customStyle="1" w:styleId="WideTable">
    <w:name w:val="Wide Table"/>
    <w:basedOn w:val="Normal"/>
    <w:rsid w:val="00AA4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A8D"/>
  </w:style>
  <w:style w:type="paragraph" w:styleId="Quote">
    <w:name w:val="Quote"/>
    <w:basedOn w:val="Heading1"/>
    <w:link w:val="QuoteChar"/>
    <w:qFormat/>
    <w:rsid w:val="00AA4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A8D"/>
    <w:pPr>
      <w:pageBreakBefore/>
    </w:pPr>
  </w:style>
  <w:style w:type="paragraph" w:customStyle="1" w:styleId="Border">
    <w:name w:val="Border"/>
    <w:basedOn w:val="Normal"/>
    <w:qFormat/>
    <w:rsid w:val="00AA4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A8D"/>
    <w:rPr>
      <w:u w:val="single"/>
    </w:rPr>
  </w:style>
  <w:style w:type="character" w:customStyle="1" w:styleId="BoldandItalics">
    <w:name w:val="Bold and Italics"/>
    <w:qFormat/>
    <w:rsid w:val="00AA4A8D"/>
    <w:rPr>
      <w:b/>
      <w:i/>
      <w:u w:val="none"/>
    </w:rPr>
  </w:style>
  <w:style w:type="paragraph" w:styleId="BalloonText">
    <w:name w:val="Balloon Text"/>
    <w:basedOn w:val="Normal"/>
    <w:link w:val="BalloonTextChar"/>
    <w:rsid w:val="00AA4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A8D"/>
    <w:pPr>
      <w:spacing w:before="0" w:after="0"/>
    </w:pPr>
  </w:style>
  <w:style w:type="paragraph" w:customStyle="1" w:styleId="BodyTextBold">
    <w:name w:val="Body Text Bold"/>
    <w:basedOn w:val="BodyText"/>
    <w:qFormat/>
    <w:rsid w:val="00AA4A8D"/>
    <w:rPr>
      <w:b/>
    </w:rPr>
  </w:style>
  <w:style w:type="character" w:styleId="Hyperlink">
    <w:name w:val="Hyperlink"/>
    <w:basedOn w:val="DefaultParagraphFont"/>
    <w:uiPriority w:val="99"/>
    <w:unhideWhenUsed/>
    <w:rsid w:val="00FB1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6986</Characters>
  <Application>Microsoft Office Word</Application>
  <DocSecurity>0</DocSecurity>
  <Lines>268</Lines>
  <Paragraphs>141</Paragraphs>
  <ScaleCrop>false</ScaleCrop>
  <Company>Author-it Software Corporation Ltd.</Company>
  <LinksUpToDate>false</LinksUpToDate>
  <CharactersWithSpaces>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TLIX0072 Organise health support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