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2E24" w:rsidP="00442E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TLIX0068 Manage configuration management processes</w:t>
      </w:r>
      <w:r>
        <w:fldChar w:fldCharType="end"/>
      </w:r>
    </w:p>
    <w:p w:rsidR="00442E24" w:rsidP="00442E24">
      <w:pPr>
        <w:pStyle w:val="Version"/>
        <w:sectPr w:rsidSect="00E15E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5E77" w:rsidP="00E15E77">
      <w:pPr>
        <w:pStyle w:val="SuperHeading"/>
      </w:pPr>
      <w:r w:rsidRPr="00E15E77">
        <w:t>TLIX0068 Manage configuration management processes</w:t>
      </w:r>
    </w:p>
    <w:p w:rsidR="00000000" w:rsidRPr="00E15E77" w:rsidP="00E15E77">
      <w:pPr>
        <w:pStyle w:val="Heading1"/>
      </w:pPr>
      <w:bookmarkStart w:id="1" w:name="O_1269058"/>
      <w:bookmarkEnd w:id="1"/>
      <w:r w:rsidRPr="00E15E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 w:rsidP="00E15E77">
            <w:pPr>
              <w:pStyle w:val="BodyText"/>
            </w:pPr>
            <w:r w:rsidRPr="00E15E77">
              <w:rPr>
                <w:rStyle w:val="SpecialBold"/>
              </w:rPr>
              <w:t>Release 1.</w:t>
            </w:r>
            <w:r w:rsidRPr="00E15E77">
              <w:t xml:space="preserve"> This is the first release of this unit of competency in the TLI Transport and Logistics Training Package.</w:t>
            </w:r>
          </w:p>
        </w:tc>
      </w:tr>
    </w:tbl>
    <w:p w:rsidR="00000000" w:rsidRPr="00E15E77" w:rsidP="00E15E77">
      <w:pPr>
        <w:pStyle w:val="NoPaddingFontSize1"/>
      </w:pPr>
    </w:p>
    <w:p w:rsidR="00000000" w:rsidRPr="00E15E77" w:rsidP="00E15E77">
      <w:pPr>
        <w:pStyle w:val="AllowPageBreak"/>
      </w:pPr>
    </w:p>
    <w:p w:rsidR="00000000" w:rsidRPr="00E15E77" w:rsidP="00E15E77">
      <w:pPr>
        <w:pStyle w:val="Heading1"/>
      </w:pPr>
      <w:bookmarkStart w:id="2" w:name="O_1269059"/>
      <w:bookmarkEnd w:id="2"/>
      <w:r w:rsidRPr="00E15E7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 w:rsidP="00E15E77">
            <w:pPr>
              <w:pStyle w:val="BodyText"/>
            </w:pPr>
            <w:r w:rsidRPr="00E15E77">
              <w:t>This unit involves the skills and knowledge required to manage configuration</w:t>
            </w:r>
            <w:r w:rsidRPr="00E15E77">
              <w:t xml:space="preserve"> management processes. </w:t>
            </w:r>
          </w:p>
          <w:p w:rsidR="00000000" w:rsidRPr="00E15E77" w:rsidP="00E15E77">
            <w:pPr>
              <w:pStyle w:val="BodyText"/>
            </w:pPr>
            <w:r w:rsidRPr="00E15E77">
              <w:t>It includes identifying configuration management requirements and developing, applying and reviewing configuration management processes to manage those processes throughout the materiel life cycle and to report on those processes in</w:t>
            </w:r>
            <w:r w:rsidRPr="00E15E77">
              <w:t xml:space="preserve"> the organisational environment.</w:t>
            </w:r>
          </w:p>
          <w:p w:rsidR="00000000" w:rsidRPr="00E15E77" w:rsidP="00E15E77">
            <w:pPr>
              <w:pStyle w:val="BodyText"/>
            </w:pPr>
            <w:r w:rsidRPr="00E15E77">
              <w:t xml:space="preserve">This unit was developed for configuration management specialists working within materiel logistics but may be applicable to individuals in broader logistics roles. </w:t>
            </w:r>
          </w:p>
          <w:p w:rsidR="00000000" w:rsidRPr="00E15E77" w:rsidP="00E15E77">
            <w:pPr>
              <w:pStyle w:val="BodyText"/>
            </w:pPr>
            <w:r w:rsidRPr="00E15E77">
              <w:t xml:space="preserve">Individuals work independently or as part of a team under </w:t>
            </w:r>
            <w:r w:rsidRPr="00E15E77">
              <w:t>direct or indirect supervision, use discretion and judgement, and take responsibility for the quality of their outputs. All activities are carried out in accordance with relevant organisational policy and procedures.</w:t>
            </w:r>
          </w:p>
          <w:p w:rsidR="00000000" w:rsidRPr="00E15E77" w:rsidP="00E15E77">
            <w:pPr>
              <w:pStyle w:val="BodyText"/>
            </w:pPr>
            <w:r w:rsidRPr="00E15E77">
              <w:t>No licensing, legislative or certificat</w:t>
            </w:r>
            <w:r w:rsidRPr="00E15E77">
              <w:t>ion requirements apply to this unit at the time of publication.</w:t>
            </w:r>
          </w:p>
        </w:tc>
      </w:tr>
    </w:tbl>
    <w:p w:rsidR="00000000" w:rsidRPr="00E15E77" w:rsidP="00E15E77">
      <w:pPr>
        <w:pStyle w:val="NoPaddingFontSize1"/>
      </w:pPr>
    </w:p>
    <w:p w:rsidR="00000000" w:rsidRPr="00E15E77" w:rsidP="00E15E77">
      <w:pPr>
        <w:pStyle w:val="AllowPageBreak"/>
      </w:pPr>
    </w:p>
    <w:p w:rsidR="00000000" w:rsidRPr="00E15E77" w:rsidP="00E15E77">
      <w:pPr>
        <w:pStyle w:val="Heading1"/>
      </w:pPr>
      <w:bookmarkStart w:id="3" w:name="O_1269060"/>
      <w:bookmarkEnd w:id="3"/>
      <w:r w:rsidRPr="00E15E7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 w:rsidP="00E15E77">
            <w:pPr>
              <w:pStyle w:val="BodyText"/>
            </w:pPr>
            <w:r w:rsidRPr="00E15E77">
              <w:t>Not applicable.</w:t>
            </w:r>
          </w:p>
        </w:tc>
      </w:tr>
    </w:tbl>
    <w:p w:rsidR="00000000" w:rsidRPr="00E15E77" w:rsidP="00E15E77">
      <w:pPr>
        <w:pStyle w:val="NoPaddingFontSize1"/>
      </w:pPr>
    </w:p>
    <w:p w:rsidR="00000000" w:rsidRPr="00E15E77" w:rsidP="00E15E77">
      <w:pPr>
        <w:pStyle w:val="AllowPageBreak"/>
      </w:pPr>
    </w:p>
    <w:p w:rsidR="00000000" w:rsidRPr="00E15E77" w:rsidP="00E15E77">
      <w:pPr>
        <w:pStyle w:val="Heading1"/>
      </w:pPr>
      <w:bookmarkStart w:id="4" w:name="O_1269061"/>
      <w:bookmarkEnd w:id="4"/>
      <w:r w:rsidRPr="00E15E7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 w:rsidP="00E15E77">
            <w:pPr>
              <w:pStyle w:val="BodyText"/>
            </w:pPr>
            <w:r w:rsidRPr="00E15E77">
              <w:t>X – Logistics</w:t>
            </w:r>
          </w:p>
        </w:tc>
      </w:tr>
    </w:tbl>
    <w:p w:rsidR="00000000" w:rsidRPr="00E15E77" w:rsidP="00E15E77">
      <w:pPr>
        <w:pStyle w:val="NoPaddingFontSize1"/>
      </w:pPr>
    </w:p>
    <w:p w:rsidR="00000000" w:rsidRPr="00E15E77" w:rsidP="00E15E77">
      <w:pPr>
        <w:pStyle w:val="AllowPageBreak"/>
      </w:pPr>
    </w:p>
    <w:p w:rsidR="00000000" w:rsidRPr="00E15E77" w:rsidP="00E15E77">
      <w:pPr>
        <w:pStyle w:val="Heading1"/>
      </w:pPr>
      <w:bookmarkStart w:id="5" w:name="O_1269062"/>
      <w:bookmarkEnd w:id="5"/>
      <w:r w:rsidRPr="00E15E7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 w:rsidP="00E15E77">
            <w:pPr>
              <w:pStyle w:val="BodyText"/>
            </w:pPr>
            <w:r w:rsidRPr="00E15E77">
              <w:t>Not applicable.</w:t>
            </w:r>
          </w:p>
        </w:tc>
      </w:tr>
    </w:tbl>
    <w:p w:rsidR="00000000" w:rsidRPr="00E15E77" w:rsidP="00E15E77">
      <w:pPr>
        <w:pStyle w:val="NoPaddingFontSize1"/>
      </w:pPr>
    </w:p>
    <w:p w:rsidR="00000000" w:rsidRPr="00E15E77" w:rsidP="00E15E77">
      <w:pPr>
        <w:pStyle w:val="AllowPageBreak"/>
      </w:pPr>
    </w:p>
    <w:p w:rsidR="00000000" w:rsidRPr="00E15E77" w:rsidP="00E15E77">
      <w:pPr>
        <w:pStyle w:val="Heading1"/>
      </w:pPr>
      <w:bookmarkStart w:id="6" w:name="O_1269063"/>
      <w:bookmarkEnd w:id="6"/>
      <w:r w:rsidRPr="00E15E7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27"/>
        <w:gridCol w:w="3040"/>
        <w:gridCol w:w="1411"/>
        <w:gridCol w:w="4319"/>
      </w:tblGrid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t>Elements describe the essential outcomes.</w:t>
            </w:r>
          </w:p>
        </w:tc>
        <w:tc>
          <w:tcPr>
            <w:tcW w:w="57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t>Performance criteria describe the performance needed to demonstrate achievement of the element.</w:t>
            </w:r>
          </w:p>
        </w:tc>
      </w:tr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 w:rsidP="00E15E77">
            <w:pPr>
              <w:pStyle w:val="BodyText"/>
            </w:pPr>
            <w:r w:rsidRPr="00E15E77">
              <w:rPr>
                <w:rStyle w:val="SpecialBold"/>
              </w:rPr>
              <w:t>1</w:t>
            </w:r>
          </w:p>
        </w:tc>
        <w:tc>
          <w:tcPr>
            <w:tcW w:w="30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 w:rsidP="00E15E77">
            <w:pPr>
              <w:pStyle w:val="BodyText"/>
            </w:pPr>
            <w:r w:rsidRPr="00E15E77">
              <w:rPr>
                <w:rStyle w:val="SpecialBold"/>
              </w:rPr>
              <w:t>Identify configuration management requirements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rPr>
                <w:rStyle w:val="SpecialBold"/>
              </w:rPr>
              <w:t>1.1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t xml:space="preserve">Sources of information relevant to configuration management are identified and obtained in accordance with </w:t>
            </w:r>
            <w:r w:rsidRPr="00E15E77">
              <w:t>organisational policy and procedures</w:t>
            </w:r>
          </w:p>
        </w:tc>
      </w:tr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>
            <w:pPr>
              <w:pStyle w:val="BodyText"/>
              <w:keepLines w:val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rPr>
                <w:rStyle w:val="SpecialBold"/>
              </w:rPr>
              <w:t>1.2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t>Currency of information is reviewed and documented in accordance with organisational policy and procedure</w:t>
            </w:r>
            <w:r w:rsidRPr="00E15E77">
              <w:t>s</w:t>
            </w:r>
          </w:p>
        </w:tc>
      </w:tr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>
            <w:pPr>
              <w:pStyle w:val="BodyText"/>
              <w:keepLines w:val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rPr>
                <w:rStyle w:val="SpecialBold"/>
              </w:rPr>
              <w:t>1.3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t>Configuration management requirements are defined and documented in accordance with organisational policy and procedures</w:t>
            </w:r>
          </w:p>
        </w:tc>
      </w:tr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>
            <w:pPr>
              <w:pStyle w:val="BodyText"/>
              <w:keepLines w:val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rPr>
                <w:rStyle w:val="SpecialBold"/>
              </w:rPr>
              <w:t>1.4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t>Work health and safety (WHS)/occupational health and safety (OHS) requirements, including those contained in organisational procedures, are applied throughout the operation</w:t>
            </w:r>
          </w:p>
        </w:tc>
      </w:tr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 w:rsidP="00E15E77">
            <w:pPr>
              <w:pStyle w:val="BodyText"/>
            </w:pPr>
            <w:r w:rsidRPr="00E15E77">
              <w:rPr>
                <w:rStyle w:val="SpecialBold"/>
              </w:rPr>
              <w:t>2</w:t>
            </w:r>
          </w:p>
        </w:tc>
        <w:tc>
          <w:tcPr>
            <w:tcW w:w="30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 w:rsidP="00E15E77">
            <w:pPr>
              <w:pStyle w:val="BodyText"/>
            </w:pPr>
            <w:r w:rsidRPr="00E15E77">
              <w:rPr>
                <w:rStyle w:val="SpecialBold"/>
              </w:rPr>
              <w:t>Develop configuration management processes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rPr>
                <w:rStyle w:val="SpecialBold"/>
              </w:rPr>
              <w:t>2.1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t>Stakeholders are communicated wit</w:t>
            </w:r>
            <w:r w:rsidRPr="00E15E77">
              <w:t>h and consulted in accordance with organisational policy and procedures</w:t>
            </w:r>
          </w:p>
        </w:tc>
      </w:tr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>
            <w:pPr>
              <w:pStyle w:val="BodyText"/>
              <w:keepLines w:val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rPr>
                <w:rStyle w:val="SpecialBold"/>
              </w:rPr>
              <w:t>2.2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t>Configuration management processes are developed and recorded in accordance with organisational policy and procedures</w:t>
            </w:r>
          </w:p>
        </w:tc>
      </w:tr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>
            <w:pPr>
              <w:pStyle w:val="BodyText"/>
              <w:keepLines w:val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rPr>
                <w:rStyle w:val="SpecialBold"/>
              </w:rPr>
              <w:t>2.3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t>Key performance indicators are developed and documented in accordance with organisational policy and procedures</w:t>
            </w:r>
          </w:p>
        </w:tc>
      </w:tr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>
            <w:pPr>
              <w:pStyle w:val="BodyText"/>
              <w:keepLines w:val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rPr>
                <w:rStyle w:val="SpecialBold"/>
              </w:rPr>
              <w:t>2.4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t>Analysis of configuration management processes is developed and documented in accordance with organisational policy and procedures</w:t>
            </w:r>
          </w:p>
        </w:tc>
      </w:tr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 w:rsidP="00E15E77">
            <w:pPr>
              <w:pStyle w:val="BodyText"/>
            </w:pPr>
            <w:r w:rsidRPr="00E15E77">
              <w:rPr>
                <w:rStyle w:val="SpecialBold"/>
              </w:rPr>
              <w:t>3</w:t>
            </w:r>
          </w:p>
        </w:tc>
        <w:tc>
          <w:tcPr>
            <w:tcW w:w="30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 w:rsidP="00E15E77">
            <w:pPr>
              <w:pStyle w:val="BodyText"/>
            </w:pPr>
            <w:r w:rsidRPr="00E15E77">
              <w:rPr>
                <w:rStyle w:val="SpecialBold"/>
              </w:rPr>
              <w:t>App</w:t>
            </w:r>
            <w:r w:rsidRPr="00E15E77">
              <w:rPr>
                <w:rStyle w:val="SpecialBold"/>
              </w:rPr>
              <w:t>ly configuration management processes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rPr>
                <w:rStyle w:val="SpecialBold"/>
              </w:rPr>
              <w:t>3.1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t>Configuration management risks and impacts are identified, recorded and managed</w:t>
            </w:r>
          </w:p>
        </w:tc>
      </w:tr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>
            <w:pPr>
              <w:pStyle w:val="BodyText"/>
              <w:keepLines w:val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rPr>
                <w:rStyle w:val="SpecialBold"/>
              </w:rPr>
              <w:t>3.2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t>Configuration management procedures are applied in accordance with legislative requirements</w:t>
            </w:r>
          </w:p>
        </w:tc>
      </w:tr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>
            <w:pPr>
              <w:pStyle w:val="BodyText"/>
              <w:keepLines w:val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rPr>
                <w:rStyle w:val="SpecialBold"/>
              </w:rPr>
              <w:t>3.3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t>Configuration management processes are carried out in accordance with organisational policy and procedures</w:t>
            </w:r>
          </w:p>
        </w:tc>
      </w:tr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>
            <w:pPr>
              <w:pStyle w:val="BodyText"/>
              <w:keepLines w:val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rPr>
                <w:rStyle w:val="SpecialBold"/>
              </w:rPr>
              <w:t>3.4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t>Failures and variances are documented, reported and managed in accordance with organisational policy and procedures</w:t>
            </w:r>
          </w:p>
        </w:tc>
      </w:tr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>
            <w:pPr>
              <w:pStyle w:val="BodyText"/>
              <w:keepLines w:val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rPr>
                <w:rStyle w:val="SpecialBold"/>
              </w:rPr>
              <w:t>3.5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t>Participation and c</w:t>
            </w:r>
            <w:r w:rsidRPr="00E15E77">
              <w:t>ontribution to configuration management processes are established and maintained</w:t>
            </w:r>
          </w:p>
        </w:tc>
      </w:tr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 w:rsidP="00E15E77">
            <w:pPr>
              <w:pStyle w:val="BodyText"/>
            </w:pPr>
            <w:r w:rsidRPr="00E15E77">
              <w:rPr>
                <w:rStyle w:val="SpecialBold"/>
              </w:rPr>
              <w:t>4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 w:rsidP="00E15E77">
            <w:pPr>
              <w:pStyle w:val="BodyText"/>
            </w:pPr>
            <w:r w:rsidRPr="00E15E77">
              <w:rPr>
                <w:rStyle w:val="SpecialBold"/>
              </w:rPr>
              <w:t>Review configuration management processes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rPr>
                <w:rStyle w:val="SpecialBold"/>
              </w:rPr>
              <w:t>4.1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t>Performance systems and processes are monitored and analysed to assess progress</w:t>
            </w:r>
          </w:p>
        </w:tc>
      </w:tr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>
            <w:pPr>
              <w:pStyle w:val="BodyText"/>
              <w:keepLines w:val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rPr>
                <w:rStyle w:val="SpecialBold"/>
              </w:rPr>
              <w:t>4.2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t xml:space="preserve">Systems, procedures and records </w:t>
            </w:r>
            <w:r w:rsidRPr="00E15E77">
              <w:t>associated with documenting performance are managed in accordance with organisational requirements</w:t>
            </w:r>
          </w:p>
        </w:tc>
      </w:tr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>
            <w:pPr>
              <w:pStyle w:val="BodyText"/>
              <w:keepLines w:val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rPr>
                <w:rStyle w:val="SpecialBold"/>
              </w:rPr>
              <w:t>4.3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t>Configuration management processes are reviewed in accordance with organisational policy and procedures</w:t>
            </w:r>
          </w:p>
        </w:tc>
      </w:tr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>
            <w:pPr>
              <w:pStyle w:val="BodyText"/>
              <w:keepLines w:val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rPr>
                <w:rStyle w:val="SpecialBold"/>
              </w:rPr>
              <w:t>4.4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t>Changes required are identified and prepared in accordance with organisational policy and procedures</w:t>
            </w:r>
          </w:p>
        </w:tc>
      </w:tr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2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04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>
            <w:pPr>
              <w:pStyle w:val="BodyText"/>
              <w:keepLines w:val="0"/>
            </w:pP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5E77">
            <w:pPr>
              <w:pStyle w:val="BodyText"/>
              <w:rPr>
                <w:lang w:val="en-NZ"/>
              </w:rPr>
            </w:pPr>
            <w:r w:rsidRPr="00E15E77">
              <w:rPr>
                <w:rStyle w:val="SpecialBold"/>
              </w:rPr>
              <w:t>4.5</w:t>
            </w:r>
          </w:p>
        </w:tc>
        <w:tc>
          <w:tcPr>
            <w:tcW w:w="43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 w:rsidP="00E15E77">
            <w:pPr>
              <w:pStyle w:val="BodyText"/>
            </w:pPr>
            <w:r w:rsidRPr="00E15E77">
              <w:t>Amendments to configuration management processes are incorporated into plans and promulgated to relevant stakeholders in accordance with organisatio</w:t>
            </w:r>
            <w:r w:rsidRPr="00E15E77">
              <w:t>nal policy and procedures</w:t>
            </w:r>
          </w:p>
        </w:tc>
      </w:tr>
    </w:tbl>
    <w:p w:rsidR="00000000" w:rsidRPr="00E15E77" w:rsidP="00E15E77">
      <w:pPr>
        <w:pStyle w:val="NoPaddingFontSize1"/>
      </w:pPr>
    </w:p>
    <w:p w:rsidR="00000000" w:rsidRPr="00E15E77" w:rsidP="00E15E77">
      <w:pPr>
        <w:pStyle w:val="AllowPageBreak"/>
      </w:pPr>
    </w:p>
    <w:p w:rsidR="00000000" w:rsidRPr="00E15E77" w:rsidP="00E15E77">
      <w:pPr>
        <w:pStyle w:val="Heading1"/>
      </w:pPr>
      <w:bookmarkStart w:id="7" w:name="O_1269064"/>
      <w:bookmarkEnd w:id="7"/>
      <w:r w:rsidRPr="00E15E7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 w:rsidP="00E15E77">
            <w:pPr>
              <w:pStyle w:val="BodyText"/>
            </w:pPr>
            <w:r w:rsidRPr="00E15E77">
              <w:t>Foundation skills essential to performance are explicit in the performance criteria of this unit of competency.</w:t>
            </w:r>
          </w:p>
        </w:tc>
      </w:tr>
    </w:tbl>
    <w:p w:rsidR="00000000" w:rsidRPr="00E15E77" w:rsidP="00E15E77">
      <w:pPr>
        <w:pStyle w:val="NoPaddingFontSize1"/>
      </w:pPr>
    </w:p>
    <w:p w:rsidR="00000000" w:rsidRPr="00E15E77" w:rsidP="00E15E77">
      <w:pPr>
        <w:pStyle w:val="AllowPageBreak"/>
      </w:pPr>
    </w:p>
    <w:p w:rsidR="00000000" w:rsidRPr="00E15E77" w:rsidP="00E15E77">
      <w:pPr>
        <w:pStyle w:val="Heading1"/>
      </w:pPr>
      <w:bookmarkStart w:id="8" w:name="O_1269065"/>
      <w:bookmarkEnd w:id="8"/>
      <w:r w:rsidRPr="00E15E7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 w:rsidP="00E15E77">
            <w:pPr>
              <w:pStyle w:val="BodyText"/>
            </w:pPr>
            <w:r w:rsidRPr="00E15E77">
              <w:t>Range is restricted to essential operating conditions and any other variables essential to the work environment.</w:t>
            </w:r>
          </w:p>
          <w:p w:rsidR="00000000" w:rsidRPr="00E15E77" w:rsidP="00E15E77">
            <w:pPr>
              <w:pStyle w:val="BodyText"/>
            </w:pPr>
            <w:r w:rsidRPr="00E15E77">
              <w:t>Non-essential conditions can be found in the Companion Volume Implementation Guide.</w:t>
            </w:r>
          </w:p>
        </w:tc>
      </w:tr>
    </w:tbl>
    <w:p w:rsidR="00000000" w:rsidRPr="00E15E77" w:rsidP="00E15E77">
      <w:pPr>
        <w:pStyle w:val="NoPaddingFontSize1"/>
      </w:pPr>
    </w:p>
    <w:p w:rsidR="00000000" w:rsidRPr="00E15E77" w:rsidP="00E15E77">
      <w:pPr>
        <w:pStyle w:val="AllowPageBreak"/>
      </w:pPr>
    </w:p>
    <w:p w:rsidR="00000000" w:rsidRPr="00E15E77" w:rsidP="00E15E77">
      <w:pPr>
        <w:pStyle w:val="Heading1"/>
      </w:pPr>
      <w:bookmarkStart w:id="9" w:name="O_1269066"/>
      <w:bookmarkEnd w:id="9"/>
      <w:r w:rsidRPr="00E15E7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15E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5E77" w:rsidP="00E15E77">
            <w:pPr>
              <w:pStyle w:val="BodyText"/>
            </w:pPr>
            <w:r w:rsidRPr="00E15E77">
              <w:t>This unit rep</w:t>
            </w:r>
            <w:r w:rsidRPr="00E15E77">
              <w:t>laces and is equivalent to TLIX5021 Manage configuration management processes.</w:t>
            </w:r>
          </w:p>
        </w:tc>
      </w:tr>
    </w:tbl>
    <w:p w:rsidR="00000000" w:rsidRPr="00E15E77" w:rsidP="00E15E77">
      <w:pPr>
        <w:pStyle w:val="NoPaddingFontSize1"/>
      </w:pPr>
    </w:p>
    <w:p w:rsidR="00000000" w:rsidRPr="00E15E77" w:rsidP="00E15E77">
      <w:pPr>
        <w:pStyle w:val="AllowPageBreak"/>
      </w:pPr>
    </w:p>
    <w:p w:rsidR="00000000" w:rsidRPr="00E15E77" w:rsidP="00E15E77">
      <w:pPr>
        <w:pStyle w:val="Heading1"/>
      </w:pPr>
      <w:bookmarkStart w:id="10" w:name="O_1269073"/>
      <w:bookmarkEnd w:id="10"/>
      <w:r w:rsidRPr="00E15E77">
        <w:t>Links</w:t>
      </w:r>
    </w:p>
    <w:p w:rsidR="00000000" w:rsidRPr="00E15E77" w:rsidP="00442E24">
      <w:pPr>
        <w:pStyle w:val="BodyText"/>
      </w:pPr>
      <w:r w:rsidRPr="00E15E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A561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15E77" w:rsidP="00E15E77"/>
    <w:sectPr w:rsidSect="00E15E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E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E77" w:rsidRPr="00442E24" w:rsidP="00442E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E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24" w:rsidP="00E15E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2E24" w:rsidP="00E15E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42E24" w:rsidP="00E15E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E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5E77" w:rsidRPr="00442E24" w:rsidP="00442E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E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E24" w:rsidRPr="002D2AF8" w:rsidP="00E15E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TLIX0068 Manage configuration management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42E24" w:rsidP="00E15E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5E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5E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5E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5E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5E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5E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5E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5E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5E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5E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5E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5E77"/>
  </w:style>
  <w:style w:type="character" w:customStyle="1" w:styleId="Heading1Char">
    <w:name w:val="Heading 1 Char"/>
    <w:basedOn w:val="DefaultParagraphFont"/>
    <w:link w:val="Heading1"/>
    <w:rsid w:val="00E15E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5E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5E7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15E77"/>
    <w:rPr>
      <w:b/>
      <w:spacing w:val="0"/>
    </w:rPr>
  </w:style>
  <w:style w:type="paragraph" w:customStyle="1" w:styleId="SuperHeading">
    <w:name w:val="SuperHeading"/>
    <w:basedOn w:val="Normal"/>
    <w:rsid w:val="00E15E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5E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15E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5E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5E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5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5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5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5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5E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5E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5E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5E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5E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5E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5E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5E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5E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5E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5E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5E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5E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5E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5E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5E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5E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5E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5E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5E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5E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5E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5E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5E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5E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5E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5E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5E77"/>
    <w:rPr>
      <w:i/>
    </w:rPr>
  </w:style>
  <w:style w:type="paragraph" w:styleId="Caption">
    <w:name w:val="caption"/>
    <w:basedOn w:val="BodyText"/>
    <w:next w:val="Normal"/>
    <w:qFormat/>
    <w:rsid w:val="00E15E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5E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5E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5E77"/>
  </w:style>
  <w:style w:type="paragraph" w:styleId="TableofFigures">
    <w:name w:val="table of figures"/>
    <w:basedOn w:val="Normal"/>
    <w:next w:val="Normal"/>
    <w:semiHidden/>
    <w:rsid w:val="00E15E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5E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15E77"/>
    <w:rPr>
      <w:rFonts w:ascii="Wingdings" w:hAnsi="Wingdings"/>
    </w:rPr>
  </w:style>
  <w:style w:type="paragraph" w:customStyle="1" w:styleId="TableHeading">
    <w:name w:val="Table Heading"/>
    <w:basedOn w:val="HeadingBase"/>
    <w:rsid w:val="00E15E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5E77"/>
    <w:rPr>
      <w:color w:val="0033CC"/>
      <w:u w:val="none"/>
    </w:rPr>
  </w:style>
  <w:style w:type="paragraph" w:customStyle="1" w:styleId="BodyTextRight">
    <w:name w:val="Body Text Right"/>
    <w:basedOn w:val="BodyText"/>
    <w:rsid w:val="00E15E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5E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5E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5E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5E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5E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5E77"/>
    <w:rPr>
      <w:sz w:val="32"/>
    </w:rPr>
  </w:style>
  <w:style w:type="paragraph" w:customStyle="1" w:styleId="HeadingProcedure">
    <w:name w:val="Heading Procedure"/>
    <w:basedOn w:val="HeadingBase"/>
    <w:next w:val="Normal"/>
    <w:rsid w:val="00E15E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5E77"/>
    <w:pPr>
      <w:spacing w:before="60" w:after="60"/>
    </w:pPr>
  </w:style>
  <w:style w:type="paragraph" w:styleId="ListContinue">
    <w:name w:val="List Continue"/>
    <w:basedOn w:val="List"/>
    <w:rsid w:val="00E15E77"/>
    <w:pPr>
      <w:ind w:firstLine="0"/>
    </w:pPr>
  </w:style>
  <w:style w:type="paragraph" w:customStyle="1" w:styleId="ListNote">
    <w:name w:val="List Note"/>
    <w:basedOn w:val="List"/>
    <w:rsid w:val="00E15E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5E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5E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5E77"/>
    <w:rPr>
      <w:rFonts w:ascii="Courier New" w:hAnsi="Courier New"/>
    </w:rPr>
  </w:style>
  <w:style w:type="paragraph" w:customStyle="1" w:styleId="NoteBullet">
    <w:name w:val="Note Bullet"/>
    <w:basedOn w:val="Note"/>
    <w:rsid w:val="00E15E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5E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5E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5E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5E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15E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5E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5E77"/>
    <w:rPr>
      <w:b/>
      <w:smallCaps/>
    </w:rPr>
  </w:style>
  <w:style w:type="paragraph" w:customStyle="1" w:styleId="TableListNumber">
    <w:name w:val="Table List Number"/>
    <w:basedOn w:val="ListNumber"/>
    <w:rsid w:val="00E15E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5E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5E77"/>
    <w:pPr>
      <w:numPr>
        <w:numId w:val="7"/>
      </w:numPr>
    </w:pPr>
  </w:style>
  <w:style w:type="paragraph" w:customStyle="1" w:styleId="ListAlpha2">
    <w:name w:val="List Alpha 2"/>
    <w:basedOn w:val="List2"/>
    <w:rsid w:val="00E15E77"/>
    <w:pPr>
      <w:numPr>
        <w:numId w:val="6"/>
      </w:numPr>
    </w:pPr>
  </w:style>
  <w:style w:type="paragraph" w:styleId="List2">
    <w:name w:val="List 2"/>
    <w:basedOn w:val="BodyText"/>
    <w:rsid w:val="00E15E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5E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5E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5E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5E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5E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15E77"/>
    <w:pPr>
      <w:numPr>
        <w:numId w:val="2"/>
      </w:numPr>
    </w:pPr>
  </w:style>
  <w:style w:type="paragraph" w:styleId="ListContinue2">
    <w:name w:val="List Continue 2"/>
    <w:basedOn w:val="List2"/>
    <w:rsid w:val="00E15E77"/>
    <w:pPr>
      <w:ind w:firstLine="0"/>
    </w:pPr>
  </w:style>
  <w:style w:type="paragraph" w:styleId="ListContinue3">
    <w:name w:val="List Continue 3"/>
    <w:basedOn w:val="List3"/>
    <w:rsid w:val="00E15E77"/>
    <w:pPr>
      <w:ind w:left="1021" w:firstLine="0"/>
    </w:pPr>
  </w:style>
  <w:style w:type="paragraph" w:styleId="ListContinue4">
    <w:name w:val="List Continue 4"/>
    <w:basedOn w:val="List4"/>
    <w:rsid w:val="00E15E77"/>
    <w:pPr>
      <w:ind w:firstLine="0"/>
    </w:pPr>
  </w:style>
  <w:style w:type="paragraph" w:styleId="ListContinue5">
    <w:name w:val="List Continue 5"/>
    <w:basedOn w:val="List5"/>
    <w:rsid w:val="00E15E77"/>
    <w:pPr>
      <w:ind w:firstLine="0"/>
    </w:pPr>
  </w:style>
  <w:style w:type="paragraph" w:styleId="ListNumber3">
    <w:name w:val="List Number 3"/>
    <w:basedOn w:val="List3"/>
    <w:rsid w:val="00E15E77"/>
    <w:pPr>
      <w:numPr>
        <w:numId w:val="3"/>
      </w:numPr>
    </w:pPr>
  </w:style>
  <w:style w:type="paragraph" w:styleId="ListNumber4">
    <w:name w:val="List Number 4"/>
    <w:basedOn w:val="List4"/>
    <w:rsid w:val="00E15E77"/>
    <w:pPr>
      <w:numPr>
        <w:numId w:val="4"/>
      </w:numPr>
    </w:pPr>
  </w:style>
  <w:style w:type="paragraph" w:styleId="ListNumber5">
    <w:name w:val="List Number 5"/>
    <w:basedOn w:val="List5"/>
    <w:rsid w:val="00E15E77"/>
    <w:pPr>
      <w:numPr>
        <w:numId w:val="5"/>
      </w:numPr>
    </w:pPr>
  </w:style>
  <w:style w:type="paragraph" w:styleId="BlockText">
    <w:name w:val="Block Text"/>
    <w:basedOn w:val="Normal"/>
    <w:rsid w:val="00E15E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5E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5E77"/>
    <w:rPr>
      <w:sz w:val="16"/>
      <w:vertAlign w:val="superscript"/>
    </w:rPr>
  </w:style>
  <w:style w:type="character" w:customStyle="1" w:styleId="Symbols">
    <w:name w:val="Symbols"/>
    <w:basedOn w:val="DefaultParagraphFont"/>
    <w:rsid w:val="00E15E77"/>
    <w:rPr>
      <w:rFonts w:ascii="Symbol" w:hAnsi="Symbol"/>
    </w:rPr>
  </w:style>
  <w:style w:type="character" w:customStyle="1" w:styleId="MenuOptions">
    <w:name w:val="Menu Options"/>
    <w:basedOn w:val="DefaultParagraphFont"/>
    <w:rsid w:val="00E15E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5E77"/>
    <w:rPr>
      <w:b/>
    </w:rPr>
  </w:style>
  <w:style w:type="character" w:customStyle="1" w:styleId="Underlined">
    <w:name w:val="Underlined"/>
    <w:basedOn w:val="DefaultParagraphFont"/>
    <w:rsid w:val="00E15E77"/>
    <w:rPr>
      <w:u w:val="single"/>
    </w:rPr>
  </w:style>
  <w:style w:type="paragraph" w:customStyle="1" w:styleId="TableBodyTextRight">
    <w:name w:val="Table Body Text Right"/>
    <w:basedOn w:val="TableBodyText"/>
    <w:rsid w:val="00E15E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5E77"/>
    <w:rPr>
      <w:sz w:val="18"/>
    </w:rPr>
  </w:style>
  <w:style w:type="paragraph" w:customStyle="1" w:styleId="BodySmallRight">
    <w:name w:val="Body Small Right"/>
    <w:basedOn w:val="BodyTextRight"/>
    <w:rsid w:val="00E15E77"/>
    <w:rPr>
      <w:sz w:val="18"/>
      <w:szCs w:val="18"/>
    </w:rPr>
  </w:style>
  <w:style w:type="paragraph" w:customStyle="1" w:styleId="MarginEdition">
    <w:name w:val="Margin Edition"/>
    <w:basedOn w:val="MarginNote"/>
    <w:rsid w:val="00E15E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5E77"/>
    <w:rPr>
      <w:sz w:val="2"/>
      <w:szCs w:val="2"/>
    </w:rPr>
  </w:style>
  <w:style w:type="character" w:customStyle="1" w:styleId="Small">
    <w:name w:val="Small"/>
    <w:basedOn w:val="DefaultParagraphFont"/>
    <w:rsid w:val="00E15E77"/>
    <w:rPr>
      <w:sz w:val="16"/>
    </w:rPr>
  </w:style>
  <w:style w:type="paragraph" w:customStyle="1" w:styleId="WideTable">
    <w:name w:val="Wide Table"/>
    <w:basedOn w:val="Normal"/>
    <w:rsid w:val="00E15E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5E77"/>
  </w:style>
  <w:style w:type="paragraph" w:styleId="Quote">
    <w:name w:val="Quote"/>
    <w:basedOn w:val="Heading1"/>
    <w:link w:val="QuoteChar"/>
    <w:qFormat/>
    <w:rsid w:val="00E15E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5E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5E77"/>
    <w:pPr>
      <w:pageBreakBefore/>
    </w:pPr>
  </w:style>
  <w:style w:type="paragraph" w:customStyle="1" w:styleId="Border">
    <w:name w:val="Border"/>
    <w:basedOn w:val="Normal"/>
    <w:qFormat/>
    <w:rsid w:val="00E15E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5E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E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E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5E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5E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5E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5E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5E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5E77"/>
    <w:rPr>
      <w:u w:val="single"/>
    </w:rPr>
  </w:style>
  <w:style w:type="character" w:customStyle="1" w:styleId="BoldandItalics">
    <w:name w:val="Bold and Italics"/>
    <w:qFormat/>
    <w:rsid w:val="00E15E77"/>
    <w:rPr>
      <w:b/>
      <w:i/>
      <w:u w:val="none"/>
    </w:rPr>
  </w:style>
  <w:style w:type="paragraph" w:styleId="BalloonText">
    <w:name w:val="Balloon Text"/>
    <w:basedOn w:val="Normal"/>
    <w:link w:val="BalloonTextChar"/>
    <w:rsid w:val="00E15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5E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5E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5E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5E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5E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5E77"/>
    <w:pPr>
      <w:spacing w:before="0" w:after="0"/>
    </w:pPr>
  </w:style>
  <w:style w:type="paragraph" w:customStyle="1" w:styleId="BodyTextBold">
    <w:name w:val="Body Text Bold"/>
    <w:basedOn w:val="BodyText"/>
    <w:qFormat/>
    <w:rsid w:val="00E15E77"/>
    <w:rPr>
      <w:b/>
    </w:rPr>
  </w:style>
  <w:style w:type="character" w:styleId="Hyperlink">
    <w:name w:val="Hyperlink"/>
    <w:basedOn w:val="DefaultParagraphFont"/>
    <w:uiPriority w:val="99"/>
    <w:unhideWhenUsed/>
    <w:rsid w:val="00442E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589</Words>
  <Characters>4057</Characters>
  <Application>Microsoft Office Word</Application>
  <DocSecurity>0</DocSecurity>
  <Lines>193</Lines>
  <Paragraphs>87</Paragraphs>
  <ScaleCrop>false</ScaleCrop>
  <Company>Author-it Software Corporation Ltd.</Company>
  <LinksUpToDate>false</LinksUpToDate>
  <CharactersWithSpaces>4559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TLIX0068 Manage configuration management processes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2024-07-12T07:58:00Z</dcterms:created>
  <dcterms:modified xsi:type="dcterms:W3CDTF">2024-07-12T07:58:00Z</dcterms:modified>
</cp:coreProperties>
</file>