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F1A" w:rsidP="00AA2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TLIX0068 Manage configuration management processes</w:t>
      </w:r>
      <w:r>
        <w:fldChar w:fldCharType="end"/>
      </w:r>
    </w:p>
    <w:p w:rsidR="00AA2F1A" w:rsidP="00AA2F1A">
      <w:pPr>
        <w:pStyle w:val="Version"/>
        <w:sectPr w:rsidSect="00DD0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99E" w:rsidP="00DD099E">
      <w:pPr>
        <w:pStyle w:val="SuperHeading"/>
      </w:pPr>
      <w:r w:rsidRPr="00DD099E">
        <w:t>TLIX0068 Manage configuration management processes</w:t>
      </w:r>
    </w:p>
    <w:p w:rsidR="00000000" w:rsidRPr="00DD099E" w:rsidP="00DD099E">
      <w:pPr>
        <w:pStyle w:val="Heading1"/>
      </w:pPr>
      <w:bookmarkStart w:id="1" w:name="O_1269058"/>
      <w:bookmarkEnd w:id="1"/>
      <w:r w:rsidRPr="00DD09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rPr>
                <w:rStyle w:val="SpecialBold"/>
              </w:rPr>
              <w:t>Release 1.</w:t>
            </w:r>
            <w:r w:rsidRPr="00DD099E">
              <w:t xml:space="preserve"> This is the first release of this unit of competency in the TLI Transport and Logistics Training Package.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2" w:name="O_1269059"/>
      <w:bookmarkEnd w:id="2"/>
      <w:r w:rsidRPr="00DD099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t>This unit involves the skills and knowledge required to manage configuration</w:t>
            </w:r>
            <w:r w:rsidRPr="00DD099E">
              <w:t xml:space="preserve"> management processes. </w:t>
            </w:r>
          </w:p>
          <w:p w:rsidR="00000000" w:rsidRPr="00DD099E" w:rsidP="00DD099E">
            <w:pPr>
              <w:pStyle w:val="BodyText"/>
            </w:pPr>
            <w:r w:rsidRPr="00DD099E">
              <w:t>It includes identifying configuration management requirements and developing, applying and reviewing configuration management processes to manage those processes throughout the materiel life cycle and to report on those processes in</w:t>
            </w:r>
            <w:r w:rsidRPr="00DD099E">
              <w:t xml:space="preserve"> the organisational environment.</w:t>
            </w:r>
          </w:p>
          <w:p w:rsidR="00000000" w:rsidRPr="00DD099E" w:rsidP="00DD099E">
            <w:pPr>
              <w:pStyle w:val="BodyText"/>
            </w:pPr>
            <w:r w:rsidRPr="00DD099E">
              <w:t xml:space="preserve">This unit was developed for configuration management specialists working within materiel logistics but may be applicable to individuals in broader logistics roles. </w:t>
            </w:r>
          </w:p>
          <w:p w:rsidR="00000000" w:rsidRPr="00DD099E" w:rsidP="00DD099E">
            <w:pPr>
              <w:pStyle w:val="BodyText"/>
            </w:pPr>
            <w:r w:rsidRPr="00DD099E">
              <w:t xml:space="preserve">Individuals work independently or as part of a team under </w:t>
            </w:r>
            <w:r w:rsidRPr="00DD099E">
              <w:t>direct or indirect supervision, use discretion and judgement, and take responsibility for the quality of their outputs. All activities are carried out in accordance with relevant organisational policy and procedures.</w:t>
            </w:r>
          </w:p>
          <w:p w:rsidR="00000000" w:rsidRPr="00DD099E" w:rsidP="00DD099E">
            <w:pPr>
              <w:pStyle w:val="BodyText"/>
            </w:pPr>
            <w:r w:rsidRPr="00DD099E">
              <w:t>No licensing, legislative or certificat</w:t>
            </w:r>
            <w:r w:rsidRPr="00DD099E">
              <w:t>ion requirements apply to this unit at the time of publication.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3" w:name="O_1269060"/>
      <w:bookmarkEnd w:id="3"/>
      <w:r w:rsidRPr="00DD099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t>Not applicable.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4" w:name="O_1269061"/>
      <w:bookmarkEnd w:id="4"/>
      <w:r w:rsidRPr="00DD099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t>X – Logistics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5" w:name="O_1269062"/>
      <w:bookmarkEnd w:id="5"/>
      <w:r w:rsidRPr="00DD099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t>Not applicable.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6" w:name="O_1269063"/>
      <w:bookmarkEnd w:id="6"/>
      <w:r w:rsidRPr="00DD099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7"/>
        <w:gridCol w:w="3040"/>
        <w:gridCol w:w="1411"/>
        <w:gridCol w:w="4319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Elements describe the essential outcomes.</w:t>
            </w:r>
          </w:p>
        </w:tc>
        <w:tc>
          <w:tcPr>
            <w:tcW w:w="5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Performance criteria describe the performance needed to demonstrate achievement of the element.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rPr>
                <w:rStyle w:val="SpecialBold"/>
              </w:rPr>
              <w:t>1</w:t>
            </w:r>
          </w:p>
        </w:tc>
        <w:tc>
          <w:tcPr>
            <w:tcW w:w="30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rPr>
                <w:rStyle w:val="SpecialBold"/>
              </w:rPr>
              <w:t>Identify configuration management requirements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1.1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 xml:space="preserve">Sources of information relevant to configuration management are identified and obtained in accordance with </w:t>
            </w:r>
            <w:r w:rsidRPr="00DD099E">
              <w:t>organisational policy and procedures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1.2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Currency of information is reviewed and documented in accordance with organisational policy and procedure</w:t>
            </w:r>
            <w:r w:rsidRPr="00DD099E">
              <w:t>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1.3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Configuration management requirements are defined and documented in accordance with organisational policy and procedures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1.4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Work health and safety (WHS)/occupational health and safety (OHS) requirements, including those contained in organisational procedures, are applied throughout the operation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rPr>
                <w:rStyle w:val="SpecialBold"/>
              </w:rPr>
              <w:t>2</w:t>
            </w:r>
          </w:p>
        </w:tc>
        <w:tc>
          <w:tcPr>
            <w:tcW w:w="30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rPr>
                <w:rStyle w:val="SpecialBold"/>
              </w:rPr>
              <w:t>Develop configuration management processes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2.1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Stakeholders are communicated wit</w:t>
            </w:r>
            <w:r w:rsidRPr="00DD099E">
              <w:t>h and consulted in accordance with organisational policy and procedures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2.2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Configuration management processes are developed and recorded in accordance with organisational policy and procedures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2.3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Key performance indicators are developed and documented in accordance with organisational policy and procedures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2.4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Analysis of configuration management processes is developed and documented in accordance with organisational policy and procedures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rPr>
                <w:rStyle w:val="SpecialBold"/>
              </w:rPr>
              <w:t>3</w:t>
            </w:r>
          </w:p>
        </w:tc>
        <w:tc>
          <w:tcPr>
            <w:tcW w:w="30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rPr>
                <w:rStyle w:val="SpecialBold"/>
              </w:rPr>
              <w:t>App</w:t>
            </w:r>
            <w:r w:rsidRPr="00DD099E">
              <w:rPr>
                <w:rStyle w:val="SpecialBold"/>
              </w:rPr>
              <w:t>ly configuration management processes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3.1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Configuration management risks and impacts are identified, recorded and managed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3.2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Configuration management procedures are applied in accordance with legislative requirements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3.3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Configuration management processes are carried out in accordance with organisational policy and procedures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3.4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Failures and variances are documented, reported and managed in accordance with organisational policy and procedures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3.5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Participation and contribution to configuration management processes are established and maintained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rPr>
                <w:rStyle w:val="SpecialBold"/>
              </w:rPr>
              <w:t>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rPr>
                <w:rStyle w:val="SpecialBold"/>
              </w:rPr>
              <w:t>Review configuration management processes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4.1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Performance systems and processes are monitored and analysed to assess progress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4.2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 xml:space="preserve">Systems, procedures </w:t>
            </w:r>
            <w:r w:rsidRPr="00DD099E">
              <w:t>and records associated with documenting performance are managed in accordance with organisational requirements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4.3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Configuration management processes are reviewed in accordance with organisational policy and procedures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4.4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Changes required are identified and prepared in accordance with organisational policy and procedures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>
            <w:pPr>
              <w:pStyle w:val="BodyText"/>
              <w:keepLines w:val="0"/>
              <w:spacing w:before="0" w:after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rPr>
                <w:rStyle w:val="SpecialBold"/>
              </w:rPr>
              <w:t>4.5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t>Amendments to configuration management processes are incorporated into plans and promulgated to relevant stakeholders in accordance with organisational policy and procedures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7" w:name="O_1269064"/>
      <w:bookmarkEnd w:id="7"/>
      <w:r w:rsidRPr="00DD099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t xml:space="preserve">Foundation skills essential to performance </w:t>
            </w:r>
            <w:r w:rsidRPr="00DD099E">
              <w:t>are explicit in the performance criteria of this unit of competency.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8" w:name="O_1269065"/>
      <w:bookmarkEnd w:id="8"/>
      <w:r w:rsidRPr="00DD099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t>Range is restricted to essential operating conditions and any other variables essential to the work environment.</w:t>
            </w:r>
          </w:p>
          <w:p w:rsidR="00000000" w:rsidRPr="00DD099E" w:rsidP="00DD099E">
            <w:pPr>
              <w:pStyle w:val="BodyText"/>
            </w:pPr>
            <w:r w:rsidRPr="00DD099E">
              <w:t>Non-essential conditions can be f</w:t>
            </w:r>
            <w:r w:rsidRPr="00DD099E">
              <w:t>ound in the Companion Volume Implementation Guide.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9" w:name="O_1269066"/>
      <w:bookmarkEnd w:id="9"/>
      <w:r w:rsidRPr="00DD099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t>This unit replaces and is equivalent to TLIX5021 Manage configuration management processes.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10" w:name="O_1269073"/>
      <w:bookmarkEnd w:id="10"/>
      <w:r w:rsidRPr="00DD099E">
        <w:t>Links</w:t>
      </w:r>
    </w:p>
    <w:p w:rsidR="00000000" w:rsidRPr="00DD099E" w:rsidP="00AA2F1A">
      <w:pPr>
        <w:pStyle w:val="BodyText"/>
      </w:pPr>
      <w:r w:rsidRPr="00DD09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F0A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099E" w:rsidP="00AA2F1A">
      <w:pPr>
        <w:pStyle w:val="BodyText"/>
        <w:sectPr w:rsidSect="00DD09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099E" w:rsidP="00DD099E">
      <w:pPr>
        <w:pStyle w:val="SuperHeading"/>
      </w:pPr>
      <w:r w:rsidRPr="00DD099E">
        <w:t>Assessment Requirements for TLIX0068 Manage configuration manag</w:t>
      </w:r>
      <w:r w:rsidRPr="00DD099E">
        <w:t>ement processes</w:t>
      </w:r>
    </w:p>
    <w:p w:rsidR="00000000" w:rsidRPr="00DD099E" w:rsidP="00DD099E">
      <w:pPr>
        <w:pStyle w:val="Heading1"/>
      </w:pPr>
      <w:bookmarkStart w:id="11" w:name="O_1269068"/>
      <w:bookmarkEnd w:id="11"/>
      <w:r w:rsidRPr="00DD09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rPr>
                <w:rStyle w:val="SpecialBold"/>
              </w:rPr>
              <w:t>Release 1.</w:t>
            </w:r>
            <w:r w:rsidRPr="00DD099E">
              <w:t xml:space="preserve"> This is the first release of this unit of competency in the TLI Transport and Logistics Training Package.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12" w:name="O_1269069"/>
      <w:bookmarkEnd w:id="12"/>
      <w:r w:rsidRPr="00DD099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Evidence required to demonstrate competenc</w:t>
            </w:r>
            <w:r w:rsidRPr="00DD099E">
              <w:t>e in this unit must be relevant to and satisfy all the requirements of the elements and performance criteria on at least one occasion and include: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ListBullet"/>
            </w:pPr>
            <w:r w:rsidRPr="00DD099E">
              <w:t>adhering to relevant work health and safety (WHS)/occupational health and safety (OHS) requirements</w:t>
            </w:r>
          </w:p>
          <w:p w:rsidR="00000000" w:rsidRPr="00DD099E" w:rsidP="00DD099E">
            <w:pPr>
              <w:pStyle w:val="ListBullet"/>
            </w:pPr>
            <w:r w:rsidRPr="00DD099E">
              <w:t>applying configuration management and project management knowledge relevant to configuration management processes</w:t>
            </w:r>
          </w:p>
          <w:p w:rsidR="00000000" w:rsidRPr="00DD099E" w:rsidP="00DD099E">
            <w:pPr>
              <w:pStyle w:val="ListBullet"/>
            </w:pPr>
            <w:r w:rsidRPr="00DD099E">
              <w:t>focusing on clearly communicating configuration management processes, presenting information accurately and selecting appropriate medium for c</w:t>
            </w:r>
            <w:r w:rsidRPr="00DD099E">
              <w:t>ommunication to a range of audiences</w:t>
            </w:r>
          </w:p>
          <w:p w:rsidR="00000000" w:rsidRPr="00DD099E" w:rsidP="00DD099E">
            <w:pPr>
              <w:pStyle w:val="ListBullet"/>
            </w:pPr>
            <w:r w:rsidRPr="00DD099E">
              <w:t>identifying and establishing configuration management operation processes</w:t>
            </w:r>
          </w:p>
          <w:p w:rsidR="00000000" w:rsidRPr="00DD099E" w:rsidP="00DD099E">
            <w:pPr>
              <w:pStyle w:val="ListBullet"/>
            </w:pPr>
            <w:r w:rsidRPr="00DD099E">
              <w:t>identifying, acquiring and adjusting resources as required to ensure effective and efficient performance of processes</w:t>
            </w:r>
          </w:p>
          <w:p w:rsidR="00000000" w:rsidRPr="00DD099E" w:rsidP="00DD099E">
            <w:pPr>
              <w:pStyle w:val="ListBullet"/>
            </w:pPr>
            <w:r w:rsidRPr="00DD099E">
              <w:t xml:space="preserve">identifying, reviewing and </w:t>
            </w:r>
            <w:r w:rsidRPr="00DD099E">
              <w:t>analysing information that may impact on configuration management processes, or may be impacted by configuration management processes</w:t>
            </w:r>
          </w:p>
          <w:p w:rsidR="00000000" w:rsidRPr="00DD099E" w:rsidP="00DD099E">
            <w:pPr>
              <w:pStyle w:val="ListBullet"/>
            </w:pPr>
            <w:r w:rsidRPr="00DD099E">
              <w:t>incorporating feedback and analysis of information to overcome challenges or setbacks</w:t>
            </w:r>
          </w:p>
          <w:p w:rsidR="00000000" w:rsidRPr="00DD099E" w:rsidP="00DD099E">
            <w:pPr>
              <w:pStyle w:val="ListBullet"/>
            </w:pPr>
            <w:r w:rsidRPr="00DD099E">
              <w:t>initiating and efficiently monitorin</w:t>
            </w:r>
            <w:r w:rsidRPr="00DD099E">
              <w:t>g processes</w:t>
            </w:r>
          </w:p>
          <w:p w:rsidR="00000000" w:rsidRPr="00DD099E" w:rsidP="00DD099E">
            <w:pPr>
              <w:pStyle w:val="ListBullet"/>
            </w:pPr>
            <w:r w:rsidRPr="00DD099E">
              <w:t>initiating any remedial action required</w:t>
            </w:r>
          </w:p>
          <w:p w:rsidR="00000000" w:rsidRPr="00DD099E" w:rsidP="00DD099E">
            <w:pPr>
              <w:pStyle w:val="ListBullet"/>
            </w:pPr>
            <w:r w:rsidRPr="00DD099E">
              <w:t>managing configuration management processes effectively and efficiently</w:t>
            </w:r>
          </w:p>
          <w:p w:rsidR="00000000" w:rsidRPr="00DD099E" w:rsidP="00DD099E">
            <w:pPr>
              <w:pStyle w:val="ListBullet"/>
            </w:pPr>
            <w:r w:rsidRPr="00DD099E">
              <w:t>negotiating and communicating effectively with key internal and external stakeholders and resolving potential areas of conflict or c</w:t>
            </w:r>
            <w:r w:rsidRPr="00DD099E">
              <w:t>oncern to ensure overall configuration management objectives are achieved</w:t>
            </w:r>
          </w:p>
          <w:p w:rsidR="00000000" w:rsidRPr="00DD099E" w:rsidP="00DD099E">
            <w:pPr>
              <w:pStyle w:val="ListBullet"/>
            </w:pPr>
            <w:r w:rsidRPr="00DD099E">
              <w:t>undertaking research and analysis to identify and develop configuration management processes</w:t>
            </w:r>
          </w:p>
          <w:p w:rsidR="00000000" w:rsidRPr="00DD099E" w:rsidP="00DD099E">
            <w:pPr>
              <w:pStyle w:val="ListBullet"/>
            </w:pPr>
            <w:r w:rsidRPr="00DD099E">
              <w:t>using appropriate information management systems</w:t>
            </w:r>
          </w:p>
          <w:p w:rsidR="00000000" w:rsidRPr="00DD099E" w:rsidP="00DD099E">
            <w:pPr>
              <w:pStyle w:val="ListBullet"/>
            </w:pPr>
            <w:r w:rsidRPr="00DD099E">
              <w:t>using organisational strategic objective</w:t>
            </w:r>
            <w:r w:rsidRPr="00DD099E">
              <w:t>s to identify and assess potential alliances and effective strategies.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13" w:name="O_1269070"/>
      <w:bookmarkEnd w:id="13"/>
      <w:r w:rsidRPr="00DD099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9E">
            <w:pPr>
              <w:pStyle w:val="BodyText"/>
              <w:rPr>
                <w:lang w:val="en-NZ"/>
              </w:rPr>
            </w:pPr>
            <w:r w:rsidRPr="00DD099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ListBullet"/>
            </w:pPr>
            <w:r w:rsidRPr="00DD099E">
              <w:t>codification and cataloguing processes</w:t>
            </w:r>
          </w:p>
          <w:p w:rsidR="00000000" w:rsidRPr="00DD099E" w:rsidP="00DD099E">
            <w:pPr>
              <w:pStyle w:val="ListBullet"/>
            </w:pPr>
            <w:r w:rsidRPr="00DD099E">
              <w:t>configuration management principles an</w:t>
            </w:r>
            <w:r w:rsidRPr="00DD099E">
              <w:t>d processes</w:t>
            </w:r>
          </w:p>
          <w:p w:rsidR="00000000" w:rsidRPr="00DD099E" w:rsidP="00DD099E">
            <w:pPr>
              <w:pStyle w:val="ListBullet"/>
            </w:pPr>
            <w:r w:rsidRPr="00DD099E">
              <w:t>industrial base capability</w:t>
            </w:r>
          </w:p>
          <w:p w:rsidR="00000000" w:rsidRPr="00DD099E" w:rsidP="00DD099E">
            <w:pPr>
              <w:pStyle w:val="ListBullet"/>
            </w:pPr>
            <w:r w:rsidRPr="00DD099E">
              <w:t xml:space="preserve">legislative and regulatory environment, including relevant environmental and sustainability issues </w:t>
            </w:r>
          </w:p>
          <w:p w:rsidR="00000000" w:rsidRPr="00DD099E" w:rsidP="00DD099E">
            <w:pPr>
              <w:pStyle w:val="ListBullet"/>
            </w:pPr>
            <w:r w:rsidRPr="00DD099E">
              <w:t>logistics governance</w:t>
            </w:r>
          </w:p>
          <w:p w:rsidR="00000000" w:rsidRPr="00DD099E" w:rsidP="00DD099E">
            <w:pPr>
              <w:pStyle w:val="ListBullet"/>
            </w:pPr>
            <w:r w:rsidRPr="00DD099E">
              <w:t>management processes relevant to configuration management</w:t>
            </w:r>
          </w:p>
          <w:p w:rsidR="00000000" w:rsidRPr="00DD099E" w:rsidP="00DD099E">
            <w:pPr>
              <w:pStyle w:val="ListBullet"/>
            </w:pPr>
            <w:r w:rsidRPr="00DD099E">
              <w:t>organisational policy and procedures</w:t>
            </w:r>
          </w:p>
          <w:p w:rsidR="00000000" w:rsidRPr="00DD099E" w:rsidP="00DD099E">
            <w:pPr>
              <w:pStyle w:val="ListBullet"/>
            </w:pPr>
            <w:r w:rsidRPr="00DD099E">
              <w:t>o</w:t>
            </w:r>
            <w:r w:rsidRPr="00DD099E">
              <w:t>rganisational role relevant to configuration management</w:t>
            </w:r>
          </w:p>
          <w:p w:rsidR="00000000" w:rsidRPr="00DD099E" w:rsidP="00DD099E">
            <w:pPr>
              <w:pStyle w:val="ListBullet"/>
            </w:pPr>
            <w:r w:rsidRPr="00DD099E">
              <w:t>product knowledge related to systems in service in the organisation</w:t>
            </w:r>
          </w:p>
          <w:p w:rsidR="00000000" w:rsidRPr="00DD099E" w:rsidP="00DD099E">
            <w:pPr>
              <w:pStyle w:val="ListBullet"/>
            </w:pPr>
            <w:r w:rsidRPr="00DD099E">
              <w:t>safety, legislative and statutory requirements, including relevant environmental and sustainability issues.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14" w:name="O_1269071"/>
      <w:bookmarkEnd w:id="14"/>
      <w:r w:rsidRPr="00DD099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9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9E" w:rsidP="00DD099E">
            <w:pPr>
              <w:pStyle w:val="BodyText"/>
            </w:pPr>
            <w:r w:rsidRPr="00DD099E">
              <w:t xml:space="preserve">Assessors must hold credentials specified within the Standards for Registered Training Organisations current at the time of assessment. </w:t>
            </w:r>
          </w:p>
          <w:p w:rsidR="00000000" w:rsidRPr="00DD099E" w:rsidP="00DD099E">
            <w:pPr>
              <w:pStyle w:val="BodyText"/>
            </w:pPr>
            <w:r w:rsidRPr="00DD099E">
              <w:t>Assessment must satisfy the Principles of Assessment and Rules of Evidence and all regulatory req</w:t>
            </w:r>
            <w:r w:rsidRPr="00DD099E">
              <w:t>uirements included within the Standards for Registered Training Organisations current at the time of assessment.</w:t>
            </w:r>
          </w:p>
          <w:p w:rsidR="00000000" w:rsidRPr="00DD099E" w:rsidP="00DD099E">
            <w:pPr>
              <w:pStyle w:val="BodyText"/>
            </w:pPr>
            <w:r w:rsidRPr="00DD099E">
              <w:t>Assessment must occur in workplace operational situations where it is appropriate to do so; where this is not appropriate, assessment must occu</w:t>
            </w:r>
            <w:r w:rsidRPr="00DD099E">
              <w:t>r in simulated workplace operational situations that replicate workplace conditions.</w:t>
            </w:r>
          </w:p>
          <w:p w:rsidR="00000000" w:rsidRPr="00DD099E" w:rsidP="00DD099E">
            <w:pPr>
              <w:pStyle w:val="BodyText"/>
            </w:pPr>
            <w:r w:rsidRPr="00DD099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D099E" w:rsidP="00DD099E">
            <w:pPr>
              <w:pStyle w:val="BodyText"/>
            </w:pPr>
            <w:r w:rsidRPr="00DD099E">
              <w:t>Res</w:t>
            </w:r>
            <w:r w:rsidRPr="00DD099E">
              <w:t>ources for assessment must include access to:</w:t>
            </w:r>
          </w:p>
          <w:p w:rsidR="00000000" w:rsidRPr="00DD099E" w:rsidP="00DD099E">
            <w:pPr>
              <w:pStyle w:val="ListBullet"/>
            </w:pPr>
            <w:r w:rsidRPr="00DD099E">
              <w:t>relevant and appropriate materials, tools, equipment and personal protective equipment currently used in industry</w:t>
            </w:r>
          </w:p>
          <w:p w:rsidR="00000000" w:rsidRPr="00DD099E" w:rsidP="00DD099E">
            <w:pPr>
              <w:pStyle w:val="ListBullet"/>
            </w:pPr>
            <w:r w:rsidRPr="00DD099E">
              <w:t>applicable documentation including legislation, regulations, codes of practice, workplace proce</w:t>
            </w:r>
            <w:r w:rsidRPr="00DD099E">
              <w:t>dures and operation manuals.</w:t>
            </w:r>
          </w:p>
        </w:tc>
      </w:tr>
    </w:tbl>
    <w:p w:rsidR="00000000" w:rsidRPr="00DD099E" w:rsidP="00DD099E">
      <w:pPr>
        <w:pStyle w:val="NoPaddingFontSize1"/>
      </w:pPr>
    </w:p>
    <w:p w:rsidR="00000000" w:rsidRPr="00DD099E" w:rsidP="00DD099E">
      <w:pPr>
        <w:pStyle w:val="AllowPageBreak"/>
      </w:pPr>
    </w:p>
    <w:p w:rsidR="00000000" w:rsidRPr="00DD099E" w:rsidP="00DD099E">
      <w:pPr>
        <w:pStyle w:val="Heading1"/>
      </w:pPr>
      <w:bookmarkStart w:id="15" w:name="O_1269074"/>
      <w:bookmarkEnd w:id="15"/>
      <w:r w:rsidRPr="00DD099E">
        <w:t>Links</w:t>
      </w:r>
    </w:p>
    <w:p w:rsidR="00000000" w:rsidRPr="00DD099E" w:rsidP="00AA2F1A">
      <w:pPr>
        <w:pStyle w:val="BodyText"/>
      </w:pPr>
      <w:r w:rsidRPr="00DD09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F0A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099E" w:rsidP="00DD099E"/>
    <w:sectPr w:rsidSect="00DD09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9E" w:rsidRPr="00AA2F1A" w:rsidP="00AA2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1A" w:rsidP="00DD0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2F1A" w:rsidP="00DD0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A2F1A" w:rsidP="00DD09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9E" w:rsidP="00DD0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2F1A">
      <w:t>Approved</w:t>
    </w:r>
    <w:r w:rsidR="00AA2F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2F1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2F1A">
      <w:rPr>
        <w:noProof/>
      </w:rPr>
      <w:t>5</w:t>
    </w:r>
    <w:r>
      <w:rPr>
        <w:noProof/>
      </w:rPr>
      <w:fldChar w:fldCharType="end"/>
    </w:r>
  </w:p>
  <w:p w:rsidR="00DD099E" w:rsidP="00DD0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2F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2F1A">
      <w:t>Industry Skills Australia</w:t>
    </w:r>
    <w:r w:rsidR="00AA2F1A">
      <w:fldChar w:fldCharType="end"/>
    </w:r>
  </w:p>
  <w:p w:rsidR="00DD099E" w:rsidP="00DD0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99E" w:rsidRPr="00AA2F1A" w:rsidP="00AA2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1A" w:rsidRPr="002D2AF8" w:rsidP="00DD0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TLIX0068 Manage configuration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2F1A" w:rsidP="00DD09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9E" w:rsidRPr="002D2AF8" w:rsidP="00DD0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2F1A">
      <w:t>TLIX0068 Manage configuration management processes</w:t>
    </w:r>
    <w:r w:rsidR="00AA2F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2F1A">
      <w:rPr>
        <w:noProof/>
      </w:rPr>
      <w:t>2 March 2025</w:t>
    </w:r>
    <w:r>
      <w:fldChar w:fldCharType="end"/>
    </w:r>
  </w:p>
  <w:p w:rsidR="00DD099E" w:rsidP="00DD0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4EC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B24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99E"/>
  </w:style>
  <w:style w:type="character" w:customStyle="1" w:styleId="Heading1Char">
    <w:name w:val="Heading 1 Char"/>
    <w:basedOn w:val="DefaultParagraphFont"/>
    <w:link w:val="Heading1"/>
    <w:rsid w:val="00DD0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9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99E"/>
    <w:rPr>
      <w:b/>
      <w:spacing w:val="0"/>
    </w:rPr>
  </w:style>
  <w:style w:type="paragraph" w:customStyle="1" w:styleId="SuperHeading">
    <w:name w:val="SuperHeading"/>
    <w:basedOn w:val="Normal"/>
    <w:rsid w:val="00DD0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0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09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0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9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99E"/>
    <w:rPr>
      <w:i/>
    </w:rPr>
  </w:style>
  <w:style w:type="paragraph" w:styleId="Caption">
    <w:name w:val="caption"/>
    <w:basedOn w:val="BodyText"/>
    <w:next w:val="Normal"/>
    <w:qFormat/>
    <w:rsid w:val="00DD0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99E"/>
  </w:style>
  <w:style w:type="paragraph" w:styleId="TableofFigures">
    <w:name w:val="table of figures"/>
    <w:basedOn w:val="Normal"/>
    <w:next w:val="Normal"/>
    <w:semiHidden/>
    <w:rsid w:val="00DD0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9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099E"/>
    <w:rPr>
      <w:rFonts w:ascii="Wingdings" w:hAnsi="Wingdings"/>
    </w:rPr>
  </w:style>
  <w:style w:type="paragraph" w:customStyle="1" w:styleId="TableHeading">
    <w:name w:val="Table Heading"/>
    <w:basedOn w:val="HeadingBase"/>
    <w:rsid w:val="00DD0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99E"/>
    <w:rPr>
      <w:color w:val="0033CC"/>
      <w:u w:val="none"/>
    </w:rPr>
  </w:style>
  <w:style w:type="paragraph" w:customStyle="1" w:styleId="BodyTextRight">
    <w:name w:val="Body Text Right"/>
    <w:basedOn w:val="BodyText"/>
    <w:rsid w:val="00DD0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9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99E"/>
    <w:rPr>
      <w:sz w:val="32"/>
    </w:rPr>
  </w:style>
  <w:style w:type="paragraph" w:customStyle="1" w:styleId="HeadingProcedure">
    <w:name w:val="Heading Procedure"/>
    <w:basedOn w:val="HeadingBase"/>
    <w:next w:val="Normal"/>
    <w:rsid w:val="00DD0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99E"/>
    <w:pPr>
      <w:spacing w:before="60" w:after="60"/>
    </w:pPr>
  </w:style>
  <w:style w:type="paragraph" w:styleId="ListContinue">
    <w:name w:val="List Continue"/>
    <w:basedOn w:val="List"/>
    <w:rsid w:val="00DD099E"/>
    <w:pPr>
      <w:ind w:firstLine="0"/>
    </w:pPr>
  </w:style>
  <w:style w:type="paragraph" w:customStyle="1" w:styleId="ListNote">
    <w:name w:val="List Note"/>
    <w:basedOn w:val="List"/>
    <w:rsid w:val="00DD0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99E"/>
    <w:rPr>
      <w:rFonts w:ascii="Courier New" w:hAnsi="Courier New"/>
    </w:rPr>
  </w:style>
  <w:style w:type="paragraph" w:customStyle="1" w:styleId="NoteBullet">
    <w:name w:val="Note Bullet"/>
    <w:basedOn w:val="Note"/>
    <w:rsid w:val="00DD0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9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0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99E"/>
    <w:rPr>
      <w:b/>
      <w:smallCaps/>
    </w:rPr>
  </w:style>
  <w:style w:type="paragraph" w:customStyle="1" w:styleId="TableListNumber">
    <w:name w:val="Table List Number"/>
    <w:basedOn w:val="ListNumber"/>
    <w:rsid w:val="00DD0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99E"/>
    <w:pPr>
      <w:numPr>
        <w:numId w:val="8"/>
      </w:numPr>
    </w:pPr>
  </w:style>
  <w:style w:type="paragraph" w:customStyle="1" w:styleId="ListAlpha2">
    <w:name w:val="List Alpha 2"/>
    <w:basedOn w:val="List2"/>
    <w:rsid w:val="00DD099E"/>
    <w:pPr>
      <w:numPr>
        <w:numId w:val="7"/>
      </w:numPr>
    </w:pPr>
  </w:style>
  <w:style w:type="paragraph" w:styleId="List2">
    <w:name w:val="List 2"/>
    <w:basedOn w:val="BodyText"/>
    <w:rsid w:val="00DD0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9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9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099E"/>
    <w:pPr>
      <w:numPr>
        <w:numId w:val="3"/>
      </w:numPr>
    </w:pPr>
  </w:style>
  <w:style w:type="paragraph" w:styleId="ListContinue2">
    <w:name w:val="List Continue 2"/>
    <w:basedOn w:val="List2"/>
    <w:rsid w:val="00DD099E"/>
    <w:pPr>
      <w:ind w:firstLine="0"/>
    </w:pPr>
  </w:style>
  <w:style w:type="paragraph" w:styleId="ListContinue3">
    <w:name w:val="List Continue 3"/>
    <w:basedOn w:val="List3"/>
    <w:rsid w:val="00DD099E"/>
    <w:pPr>
      <w:ind w:left="1021" w:firstLine="0"/>
    </w:pPr>
  </w:style>
  <w:style w:type="paragraph" w:styleId="ListContinue4">
    <w:name w:val="List Continue 4"/>
    <w:basedOn w:val="List4"/>
    <w:rsid w:val="00DD099E"/>
    <w:pPr>
      <w:ind w:firstLine="0"/>
    </w:pPr>
  </w:style>
  <w:style w:type="paragraph" w:styleId="ListContinue5">
    <w:name w:val="List Continue 5"/>
    <w:basedOn w:val="List5"/>
    <w:rsid w:val="00DD099E"/>
    <w:pPr>
      <w:ind w:firstLine="0"/>
    </w:pPr>
  </w:style>
  <w:style w:type="paragraph" w:styleId="ListNumber3">
    <w:name w:val="List Number 3"/>
    <w:basedOn w:val="List3"/>
    <w:rsid w:val="00DD099E"/>
    <w:pPr>
      <w:numPr>
        <w:numId w:val="4"/>
      </w:numPr>
    </w:pPr>
  </w:style>
  <w:style w:type="paragraph" w:styleId="ListNumber4">
    <w:name w:val="List Number 4"/>
    <w:basedOn w:val="List4"/>
    <w:rsid w:val="00DD099E"/>
    <w:pPr>
      <w:numPr>
        <w:numId w:val="5"/>
      </w:numPr>
    </w:pPr>
  </w:style>
  <w:style w:type="paragraph" w:styleId="ListNumber5">
    <w:name w:val="List Number 5"/>
    <w:basedOn w:val="List5"/>
    <w:rsid w:val="00DD099E"/>
    <w:pPr>
      <w:numPr>
        <w:numId w:val="6"/>
      </w:numPr>
    </w:pPr>
  </w:style>
  <w:style w:type="paragraph" w:styleId="BlockText">
    <w:name w:val="Block Text"/>
    <w:basedOn w:val="Normal"/>
    <w:rsid w:val="00DD0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99E"/>
    <w:rPr>
      <w:sz w:val="16"/>
      <w:vertAlign w:val="superscript"/>
    </w:rPr>
  </w:style>
  <w:style w:type="character" w:customStyle="1" w:styleId="Symbols">
    <w:name w:val="Symbols"/>
    <w:basedOn w:val="DefaultParagraphFont"/>
    <w:rsid w:val="00DD099E"/>
    <w:rPr>
      <w:rFonts w:ascii="Symbol" w:hAnsi="Symbol"/>
    </w:rPr>
  </w:style>
  <w:style w:type="character" w:customStyle="1" w:styleId="MenuOptions">
    <w:name w:val="Menu Options"/>
    <w:basedOn w:val="DefaultParagraphFont"/>
    <w:rsid w:val="00DD0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99E"/>
    <w:rPr>
      <w:b/>
    </w:rPr>
  </w:style>
  <w:style w:type="character" w:customStyle="1" w:styleId="Underlined">
    <w:name w:val="Underlined"/>
    <w:basedOn w:val="DefaultParagraphFont"/>
    <w:rsid w:val="00DD099E"/>
    <w:rPr>
      <w:u w:val="single"/>
    </w:rPr>
  </w:style>
  <w:style w:type="paragraph" w:customStyle="1" w:styleId="TableBodyTextRight">
    <w:name w:val="Table Body Text Right"/>
    <w:basedOn w:val="TableBodyText"/>
    <w:rsid w:val="00DD0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99E"/>
    <w:rPr>
      <w:sz w:val="18"/>
    </w:rPr>
  </w:style>
  <w:style w:type="paragraph" w:customStyle="1" w:styleId="BodySmallRight">
    <w:name w:val="Body Small Right"/>
    <w:basedOn w:val="BodyTextRight"/>
    <w:rsid w:val="00DD099E"/>
    <w:rPr>
      <w:sz w:val="18"/>
      <w:szCs w:val="18"/>
    </w:rPr>
  </w:style>
  <w:style w:type="paragraph" w:customStyle="1" w:styleId="MarginEdition">
    <w:name w:val="Margin Edition"/>
    <w:basedOn w:val="MarginNote"/>
    <w:rsid w:val="00DD0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99E"/>
    <w:rPr>
      <w:sz w:val="2"/>
      <w:szCs w:val="2"/>
    </w:rPr>
  </w:style>
  <w:style w:type="character" w:customStyle="1" w:styleId="Small">
    <w:name w:val="Small"/>
    <w:basedOn w:val="DefaultParagraphFont"/>
    <w:rsid w:val="00DD099E"/>
    <w:rPr>
      <w:sz w:val="16"/>
    </w:rPr>
  </w:style>
  <w:style w:type="paragraph" w:customStyle="1" w:styleId="WideTable">
    <w:name w:val="Wide Table"/>
    <w:basedOn w:val="Normal"/>
    <w:rsid w:val="00DD0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99E"/>
  </w:style>
  <w:style w:type="paragraph" w:styleId="Quote">
    <w:name w:val="Quote"/>
    <w:basedOn w:val="Heading1"/>
    <w:link w:val="QuoteChar"/>
    <w:qFormat/>
    <w:rsid w:val="00DD0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99E"/>
    <w:pPr>
      <w:pageBreakBefore/>
    </w:pPr>
  </w:style>
  <w:style w:type="paragraph" w:customStyle="1" w:styleId="Border">
    <w:name w:val="Border"/>
    <w:basedOn w:val="Normal"/>
    <w:qFormat/>
    <w:rsid w:val="00DD0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99E"/>
    <w:rPr>
      <w:u w:val="single"/>
    </w:rPr>
  </w:style>
  <w:style w:type="character" w:customStyle="1" w:styleId="BoldandItalics">
    <w:name w:val="Bold and Italics"/>
    <w:qFormat/>
    <w:rsid w:val="00DD099E"/>
    <w:rPr>
      <w:b/>
      <w:i/>
      <w:u w:val="none"/>
    </w:rPr>
  </w:style>
  <w:style w:type="paragraph" w:styleId="BalloonText">
    <w:name w:val="Balloon Text"/>
    <w:basedOn w:val="Normal"/>
    <w:link w:val="BalloonTextChar"/>
    <w:rsid w:val="00DD0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99E"/>
    <w:pPr>
      <w:spacing w:before="0" w:after="0"/>
    </w:pPr>
  </w:style>
  <w:style w:type="paragraph" w:customStyle="1" w:styleId="BodyTextBold">
    <w:name w:val="Body Text Bold"/>
    <w:basedOn w:val="BodyText"/>
    <w:qFormat/>
    <w:rsid w:val="00DD099E"/>
    <w:rPr>
      <w:b/>
    </w:rPr>
  </w:style>
  <w:style w:type="character" w:styleId="Hyperlink">
    <w:name w:val="Hyperlink"/>
    <w:basedOn w:val="DefaultParagraphFont"/>
    <w:uiPriority w:val="99"/>
    <w:unhideWhenUsed/>
    <w:rsid w:val="00AA2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7531</Characters>
  <Application>Microsoft Office Word</Application>
  <DocSecurity>0</DocSecurity>
  <Lines>268</Lines>
  <Paragraphs>134</Paragraphs>
  <ScaleCrop>false</ScaleCrop>
  <Company>Author-it Software Corporation Ltd.</Company>
  <LinksUpToDate>false</LinksUpToDate>
  <CharactersWithSpaces>8471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TLIX0068 Manage configuration management processes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