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294" w:rsidP="00DF5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TLIX0067 Manage and monitor technical data and information systems</w:t>
      </w:r>
      <w:r>
        <w:fldChar w:fldCharType="end"/>
      </w:r>
    </w:p>
    <w:p w:rsidR="00DF5294" w:rsidP="00DF5294">
      <w:pPr>
        <w:pStyle w:val="Version"/>
        <w:sectPr w:rsidSect="00943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A6B" w:rsidP="00943A6B">
      <w:pPr>
        <w:pStyle w:val="SuperHeading"/>
      </w:pPr>
      <w:r w:rsidRPr="00943A6B">
        <w:t>TLIX0067 Manage and monitor technical data and information systems</w:t>
      </w:r>
    </w:p>
    <w:p w:rsidR="00000000" w:rsidRPr="00943A6B" w:rsidP="00943A6B">
      <w:pPr>
        <w:pStyle w:val="Heading1"/>
      </w:pPr>
      <w:bookmarkStart w:id="1" w:name="O_1269029"/>
      <w:bookmarkEnd w:id="1"/>
      <w:r w:rsidRPr="00943A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Release 1.</w:t>
            </w:r>
            <w:r w:rsidRPr="00943A6B">
              <w:t xml:space="preserve"> This is the first release of this unit of competency in the TLI Transport and Logistics Training Package.</w:t>
            </w:r>
          </w:p>
        </w:tc>
      </w:tr>
    </w:tbl>
    <w:p w:rsidR="00000000" w:rsidRPr="00943A6B" w:rsidP="00943A6B">
      <w:pPr>
        <w:pStyle w:val="NoPaddingFontSize1"/>
      </w:pPr>
    </w:p>
    <w:p w:rsidR="00000000" w:rsidRPr="00943A6B" w:rsidP="00943A6B">
      <w:pPr>
        <w:pStyle w:val="AllowPageBreak"/>
      </w:pPr>
    </w:p>
    <w:p w:rsidR="00000000" w:rsidRPr="00943A6B" w:rsidP="00943A6B">
      <w:pPr>
        <w:pStyle w:val="Heading1"/>
      </w:pPr>
      <w:bookmarkStart w:id="2" w:name="O_1269030"/>
      <w:bookmarkEnd w:id="2"/>
      <w:r w:rsidRPr="00943A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t>This unit involves the skills and knowledge required to manage and monitor technical data and information systems.</w:t>
            </w:r>
          </w:p>
          <w:p w:rsidR="00000000" w:rsidRPr="00943A6B" w:rsidP="00943A6B">
            <w:pPr>
              <w:pStyle w:val="BodyText"/>
            </w:pPr>
            <w:r w:rsidRPr="00943A6B">
              <w:t>It includes designating detailed technical data, information use and maintenance responsibilities; developing key performance indicators for</w:t>
            </w:r>
            <w:r w:rsidRPr="00943A6B">
              <w:t xml:space="preserve"> technical data management activities; and developing monitoring methodology.</w:t>
            </w:r>
          </w:p>
          <w:p w:rsidR="00000000" w:rsidRPr="00943A6B" w:rsidP="00943A6B">
            <w:pPr>
              <w:pStyle w:val="BodyText"/>
            </w:pPr>
            <w:r w:rsidRPr="00943A6B">
              <w:t>It also includes monitoring technical data management systems; identifying and responding to problems and changes; and designating technical data and information creation and cap</w:t>
            </w:r>
            <w:r w:rsidRPr="00943A6B">
              <w:t>turing responsibilities.</w:t>
            </w:r>
          </w:p>
          <w:p w:rsidR="00000000" w:rsidRPr="00943A6B" w:rsidP="00943A6B">
            <w:pPr>
              <w:pStyle w:val="BodyText"/>
            </w:pPr>
            <w:r w:rsidRPr="00943A6B">
              <w:t xml:space="preserve">This competency occurs within an established systems framework. It may also be used to review systems processes and activities. </w:t>
            </w:r>
          </w:p>
          <w:p w:rsidR="00000000" w:rsidRPr="00943A6B" w:rsidP="00943A6B">
            <w:pPr>
              <w:pStyle w:val="BodyText"/>
            </w:pPr>
            <w:r w:rsidRPr="00943A6B">
              <w:t xml:space="preserve">This unit applies to technical regulatory framework specialists working within materiel logistics but </w:t>
            </w:r>
            <w:r w:rsidRPr="00943A6B">
              <w:t>may be applicable to any individual in this field of work.</w:t>
            </w:r>
          </w:p>
          <w:p w:rsidR="00000000" w:rsidRPr="00943A6B" w:rsidP="00943A6B">
            <w:pPr>
              <w:pStyle w:val="BodyText"/>
            </w:pPr>
            <w:r w:rsidRPr="00943A6B">
              <w:t>Individuals must demonstrate the ability to work independently or as part of a team under direct or indirect supervision, use discretion and judgement, and take responsibility for the quality of th</w:t>
            </w:r>
            <w:r w:rsidRPr="00943A6B">
              <w:t xml:space="preserve">eir output. </w:t>
            </w:r>
          </w:p>
          <w:p w:rsidR="00000000" w:rsidRPr="00943A6B" w:rsidP="00943A6B">
            <w:pPr>
              <w:pStyle w:val="BodyText"/>
            </w:pPr>
            <w:r w:rsidRPr="00943A6B">
              <w:t>No licensing, legislative or certification requirements apply to this unit at the time of publication.</w:t>
            </w:r>
          </w:p>
        </w:tc>
      </w:tr>
    </w:tbl>
    <w:p w:rsidR="00000000" w:rsidRPr="00943A6B" w:rsidP="00943A6B">
      <w:pPr>
        <w:pStyle w:val="NoPaddingFontSize1"/>
      </w:pPr>
    </w:p>
    <w:p w:rsidR="00000000" w:rsidRPr="00943A6B" w:rsidP="00943A6B">
      <w:pPr>
        <w:pStyle w:val="AllowPageBreak"/>
      </w:pPr>
    </w:p>
    <w:p w:rsidR="00000000" w:rsidRPr="00943A6B" w:rsidP="00943A6B">
      <w:pPr>
        <w:pStyle w:val="Heading1"/>
      </w:pPr>
      <w:bookmarkStart w:id="3" w:name="O_1269031"/>
      <w:bookmarkEnd w:id="3"/>
      <w:r w:rsidRPr="00943A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t>Not applicable.</w:t>
            </w:r>
          </w:p>
        </w:tc>
      </w:tr>
    </w:tbl>
    <w:p w:rsidR="00000000" w:rsidRPr="00943A6B" w:rsidP="00943A6B">
      <w:pPr>
        <w:pStyle w:val="NoPaddingFontSize1"/>
      </w:pPr>
    </w:p>
    <w:p w:rsidR="00000000" w:rsidRPr="00943A6B" w:rsidP="00943A6B">
      <w:pPr>
        <w:pStyle w:val="AllowPageBreak"/>
      </w:pPr>
    </w:p>
    <w:p w:rsidR="00000000" w:rsidRPr="00943A6B" w:rsidP="00943A6B">
      <w:pPr>
        <w:pStyle w:val="Heading1"/>
      </w:pPr>
      <w:bookmarkStart w:id="4" w:name="O_1269032"/>
      <w:bookmarkEnd w:id="4"/>
      <w:r w:rsidRPr="00943A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t>X ‒ Logistics</w:t>
            </w:r>
          </w:p>
        </w:tc>
      </w:tr>
    </w:tbl>
    <w:p w:rsidR="00000000" w:rsidRPr="00943A6B" w:rsidP="00943A6B">
      <w:pPr>
        <w:pStyle w:val="NoPaddingFontSize1"/>
      </w:pPr>
    </w:p>
    <w:p w:rsidR="00000000" w:rsidRPr="00943A6B" w:rsidP="00943A6B">
      <w:pPr>
        <w:pStyle w:val="AllowPageBreak"/>
      </w:pPr>
    </w:p>
    <w:p w:rsidR="00000000" w:rsidRPr="00943A6B" w:rsidP="00943A6B">
      <w:pPr>
        <w:pStyle w:val="Heading1"/>
      </w:pPr>
      <w:bookmarkStart w:id="5" w:name="O_1269033"/>
      <w:bookmarkEnd w:id="5"/>
      <w:r w:rsidRPr="00943A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t>Not applicable.</w:t>
            </w:r>
          </w:p>
        </w:tc>
      </w:tr>
    </w:tbl>
    <w:p w:rsidR="00000000" w:rsidRPr="00943A6B" w:rsidP="00943A6B">
      <w:pPr>
        <w:pStyle w:val="NoPaddingFontSize1"/>
      </w:pPr>
    </w:p>
    <w:p w:rsidR="00000000" w:rsidRPr="00943A6B" w:rsidP="00943A6B">
      <w:pPr>
        <w:pStyle w:val="AllowPageBreak"/>
      </w:pPr>
    </w:p>
    <w:p w:rsidR="00000000" w:rsidRPr="00943A6B" w:rsidP="00943A6B">
      <w:pPr>
        <w:pStyle w:val="Heading1"/>
      </w:pPr>
      <w:bookmarkStart w:id="6" w:name="O_1269034"/>
      <w:bookmarkEnd w:id="6"/>
      <w:r w:rsidRPr="00943A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3"/>
        <w:gridCol w:w="3298"/>
        <w:gridCol w:w="1320"/>
        <w:gridCol w:w="4216"/>
      </w:tblGrid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ELEMENTS</w:t>
            </w:r>
          </w:p>
        </w:tc>
        <w:tc>
          <w:tcPr>
            <w:tcW w:w="5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PERFORMANCE CRITERIA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Elements describe the essential outcomes.</w:t>
            </w:r>
          </w:p>
        </w:tc>
        <w:tc>
          <w:tcPr>
            <w:tcW w:w="5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Performance criteria describe the performance needed to demonstrate achievement of the element.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1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Designate detailed technical data and information use, and maintenance responsibilities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1.1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Responsibilities for technical data and information use and maintenance activities are designated to personnel in accordance with approved systems framework, organi</w:t>
            </w:r>
            <w:r w:rsidRPr="00943A6B">
              <w:t>sational policy and individual capabilities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1.2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System operational rules are devised in compliance with approved systems framework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1.3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Resources for approved budget period are allocated in accordance with policy and strategic plan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2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Develop key performance indicators for technical data management activities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2.1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Measurable performance indicators are developed for technical data management activities in accordance with authorised systems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2.2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Individual personnel and organisational un</w:t>
            </w:r>
            <w:r w:rsidRPr="00943A6B">
              <w:t>it data management responsibilities are identified, communicated and documented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2.3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 xml:space="preserve">Acceptable range of variation for compliance is determined based on data management responsibilities, applicable data management systems and organisational </w:t>
            </w:r>
            <w:r w:rsidRPr="00943A6B">
              <w:t>risk management analysis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3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Develop monitoring methodology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3.1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Methodology for monitoring technical data management systems rules, standards and procedures is developed based on authorised systems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3.2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Timeframes involved, means of surveillance and forms</w:t>
            </w:r>
            <w:r w:rsidRPr="00943A6B">
              <w:t xml:space="preserve"> of reporting are included in methodology developed 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3.3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 xml:space="preserve">Methodology, performance criteria and range of variation from standards and rules are submitted to appropriate </w:t>
            </w:r>
            <w:r w:rsidRPr="00943A6B">
              <w:t>authority for approval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4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Monitor a technical data management system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4.1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Monitoring is undertaken in accordance with approved timeframes and frequency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4.2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Personnel being monitored are notified in accordance with organisational policy and guidelines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4.3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Variation from data management systems framework, rule, standards and procedures that exceed the agreed limit is noted and details recorded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4.4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 xml:space="preserve">Reports relating to technical data and information use and maintenance are provided to appropriate authority </w:t>
            </w:r>
            <w:r w:rsidRPr="00943A6B">
              <w:t>in the required format and at the required intervals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5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Identify and respond to problems and changes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5.1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Problems and changes requiring a systematic response are identified from monitoring reports and external events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5.2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Recommendations are made for revisions to systems, procedures, and strategic plans in response to identified variations, changes and problems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5.3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Amendments to systems are devised and implementation is planned, in response to problems and changes that r</w:t>
            </w:r>
            <w:r w:rsidRPr="00943A6B">
              <w:t>equire a systemic response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5.4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Recommendations for systems amendments and the planning and implementation required are prepared, and approval is sought from appropriate authority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5.5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Procedures for using technical data and inf</w:t>
            </w:r>
            <w:r w:rsidRPr="00943A6B">
              <w:t>ormation systems, and subsequent alterations and amendments to the procedures are authorised, ensuring that performance indicator parameters and access rules are adhered to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6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rPr>
                <w:rStyle w:val="SpecialBold"/>
              </w:rPr>
              <w:t>Designate technical data and information creation and capture responsibilities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6</w:t>
            </w:r>
            <w:r w:rsidRPr="00943A6B">
              <w:rPr>
                <w:rStyle w:val="SpecialBold"/>
              </w:rPr>
              <w:t>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Responsibilities for technical data and information creation and capture activities are designated to personnel in accordance with organisational policy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6.2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t>Technical data and information creation and capture performance targets are set within the pa</w:t>
            </w:r>
            <w:r w:rsidRPr="00943A6B">
              <w:t>rameters of the technical data management plan</w:t>
            </w:r>
          </w:p>
        </w:tc>
      </w:tr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>
            <w:pPr>
              <w:pStyle w:val="BodyText"/>
              <w:keepLines w:val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6B">
            <w:pPr>
              <w:pStyle w:val="BodyText"/>
              <w:rPr>
                <w:lang w:val="en-NZ"/>
              </w:rPr>
            </w:pPr>
            <w:r w:rsidRPr="00943A6B">
              <w:rPr>
                <w:rStyle w:val="SpecialBold"/>
              </w:rPr>
              <w:t>6.3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t>Resources for the budget period are allocated in accordance with organisational policy and strategic plan</w:t>
            </w:r>
          </w:p>
        </w:tc>
      </w:tr>
    </w:tbl>
    <w:p w:rsidR="00000000" w:rsidRPr="00943A6B" w:rsidP="00943A6B">
      <w:pPr>
        <w:pStyle w:val="NoPaddingFontSize1"/>
      </w:pPr>
    </w:p>
    <w:p w:rsidR="00000000" w:rsidRPr="00943A6B" w:rsidP="00943A6B">
      <w:pPr>
        <w:pStyle w:val="AllowPageBreak"/>
      </w:pPr>
    </w:p>
    <w:p w:rsidR="00000000" w:rsidRPr="00943A6B" w:rsidP="00943A6B">
      <w:pPr>
        <w:pStyle w:val="Heading1"/>
      </w:pPr>
      <w:bookmarkStart w:id="7" w:name="O_1269035"/>
      <w:bookmarkEnd w:id="7"/>
      <w:r w:rsidRPr="00943A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t>Foundation skills essential to performance are explicit in the performance criteria of this unit of competency.</w:t>
            </w:r>
          </w:p>
        </w:tc>
      </w:tr>
    </w:tbl>
    <w:p w:rsidR="00000000" w:rsidRPr="00943A6B" w:rsidP="00943A6B">
      <w:pPr>
        <w:pStyle w:val="NoPaddingFontSize1"/>
      </w:pPr>
    </w:p>
    <w:p w:rsidR="00000000" w:rsidRPr="00943A6B" w:rsidP="00943A6B">
      <w:pPr>
        <w:pStyle w:val="AllowPageBreak"/>
      </w:pPr>
    </w:p>
    <w:p w:rsidR="00000000" w:rsidRPr="00943A6B" w:rsidP="00943A6B">
      <w:pPr>
        <w:pStyle w:val="Heading1"/>
      </w:pPr>
      <w:bookmarkStart w:id="8" w:name="O_1269036"/>
      <w:bookmarkEnd w:id="8"/>
      <w:r w:rsidRPr="00943A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t>Range is restricted to essential operating conditions and any other variables essential to the work env</w:t>
            </w:r>
            <w:r w:rsidRPr="00943A6B">
              <w:t>ironment.</w:t>
            </w:r>
          </w:p>
          <w:p w:rsidR="00000000" w:rsidRPr="00943A6B" w:rsidP="00943A6B">
            <w:pPr>
              <w:pStyle w:val="BodyText"/>
            </w:pPr>
            <w:r w:rsidRPr="00943A6B">
              <w:t>Non-essential conditions can be found in the Companion Volume Implementation Guide.</w:t>
            </w:r>
          </w:p>
        </w:tc>
      </w:tr>
    </w:tbl>
    <w:p w:rsidR="00000000" w:rsidRPr="00943A6B" w:rsidP="00943A6B">
      <w:pPr>
        <w:pStyle w:val="NoPaddingFontSize1"/>
      </w:pPr>
    </w:p>
    <w:p w:rsidR="00000000" w:rsidRPr="00943A6B" w:rsidP="00943A6B">
      <w:pPr>
        <w:pStyle w:val="AllowPageBreak"/>
      </w:pPr>
    </w:p>
    <w:p w:rsidR="00000000" w:rsidRPr="00943A6B" w:rsidP="00943A6B">
      <w:pPr>
        <w:pStyle w:val="Heading1"/>
      </w:pPr>
      <w:bookmarkStart w:id="9" w:name="O_1269037"/>
      <w:bookmarkEnd w:id="9"/>
      <w:r w:rsidRPr="00943A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6B" w:rsidP="00943A6B">
            <w:pPr>
              <w:pStyle w:val="BodyText"/>
            </w:pPr>
            <w:r w:rsidRPr="00943A6B">
              <w:t>This unit replaces and is equivalent to TLIX5036 Manage and monitor technical data and information systems.</w:t>
            </w:r>
          </w:p>
        </w:tc>
      </w:tr>
    </w:tbl>
    <w:p w:rsidR="00000000" w:rsidRPr="00943A6B" w:rsidP="00943A6B">
      <w:pPr>
        <w:pStyle w:val="NoPaddingFontSize1"/>
      </w:pPr>
    </w:p>
    <w:p w:rsidR="00000000" w:rsidRPr="00943A6B" w:rsidP="00943A6B">
      <w:pPr>
        <w:pStyle w:val="AllowPageBreak"/>
      </w:pPr>
    </w:p>
    <w:p w:rsidR="00000000" w:rsidRPr="00943A6B" w:rsidP="00943A6B">
      <w:pPr>
        <w:pStyle w:val="Heading1"/>
      </w:pPr>
      <w:bookmarkStart w:id="10" w:name="O_1269044"/>
      <w:bookmarkEnd w:id="10"/>
      <w:r w:rsidRPr="00943A6B">
        <w:t>Links</w:t>
      </w:r>
    </w:p>
    <w:p w:rsidR="00000000" w:rsidRPr="00943A6B" w:rsidP="00DF5294">
      <w:pPr>
        <w:pStyle w:val="BodyText"/>
      </w:pPr>
      <w:r w:rsidRPr="00943A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B32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43A6B" w:rsidP="00943A6B"/>
    <w:sectPr w:rsidSect="00943A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6B" w:rsidRPr="00DF5294" w:rsidP="00DF5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294" w:rsidP="00943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294" w:rsidP="00943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F5294" w:rsidP="00943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2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A6B" w:rsidRPr="00DF5294" w:rsidP="00DF52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294" w:rsidRPr="002D2AF8" w:rsidP="00943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TLIX0067 Manage and monitor technical data and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F5294" w:rsidP="00943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A6B"/>
  </w:style>
  <w:style w:type="character" w:customStyle="1" w:styleId="Heading1Char">
    <w:name w:val="Heading 1 Char"/>
    <w:basedOn w:val="DefaultParagraphFont"/>
    <w:link w:val="Heading1"/>
    <w:rsid w:val="00943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A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3A6B"/>
    <w:rPr>
      <w:b/>
      <w:spacing w:val="0"/>
    </w:rPr>
  </w:style>
  <w:style w:type="paragraph" w:customStyle="1" w:styleId="SuperHeading">
    <w:name w:val="SuperHeading"/>
    <w:basedOn w:val="Normal"/>
    <w:rsid w:val="00943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3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A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A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3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A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A6B"/>
    <w:rPr>
      <w:i/>
    </w:rPr>
  </w:style>
  <w:style w:type="paragraph" w:styleId="Caption">
    <w:name w:val="caption"/>
    <w:basedOn w:val="BodyText"/>
    <w:next w:val="Normal"/>
    <w:qFormat/>
    <w:rsid w:val="00943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A6B"/>
  </w:style>
  <w:style w:type="paragraph" w:styleId="TableofFigures">
    <w:name w:val="table of figures"/>
    <w:basedOn w:val="Normal"/>
    <w:next w:val="Normal"/>
    <w:semiHidden/>
    <w:rsid w:val="00943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A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3A6B"/>
    <w:rPr>
      <w:rFonts w:ascii="Wingdings" w:hAnsi="Wingdings"/>
    </w:rPr>
  </w:style>
  <w:style w:type="paragraph" w:customStyle="1" w:styleId="TableHeading">
    <w:name w:val="Table Heading"/>
    <w:basedOn w:val="HeadingBase"/>
    <w:rsid w:val="00943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A6B"/>
    <w:rPr>
      <w:color w:val="0033CC"/>
      <w:u w:val="none"/>
    </w:rPr>
  </w:style>
  <w:style w:type="paragraph" w:customStyle="1" w:styleId="BodyTextRight">
    <w:name w:val="Body Text Right"/>
    <w:basedOn w:val="BodyText"/>
    <w:rsid w:val="00943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A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A6B"/>
    <w:rPr>
      <w:sz w:val="32"/>
    </w:rPr>
  </w:style>
  <w:style w:type="paragraph" w:customStyle="1" w:styleId="HeadingProcedure">
    <w:name w:val="Heading Procedure"/>
    <w:basedOn w:val="HeadingBase"/>
    <w:next w:val="Normal"/>
    <w:rsid w:val="00943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A6B"/>
    <w:pPr>
      <w:spacing w:before="60" w:after="60"/>
    </w:pPr>
  </w:style>
  <w:style w:type="paragraph" w:styleId="ListContinue">
    <w:name w:val="List Continue"/>
    <w:basedOn w:val="List"/>
    <w:rsid w:val="00943A6B"/>
    <w:pPr>
      <w:ind w:firstLine="0"/>
    </w:pPr>
  </w:style>
  <w:style w:type="paragraph" w:customStyle="1" w:styleId="ListNote">
    <w:name w:val="List Note"/>
    <w:basedOn w:val="List"/>
    <w:rsid w:val="00943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A6B"/>
    <w:rPr>
      <w:rFonts w:ascii="Courier New" w:hAnsi="Courier New"/>
    </w:rPr>
  </w:style>
  <w:style w:type="paragraph" w:customStyle="1" w:styleId="NoteBullet">
    <w:name w:val="Note Bullet"/>
    <w:basedOn w:val="Note"/>
    <w:rsid w:val="00943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A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3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A6B"/>
    <w:rPr>
      <w:b/>
      <w:smallCaps/>
    </w:rPr>
  </w:style>
  <w:style w:type="paragraph" w:customStyle="1" w:styleId="TableListNumber">
    <w:name w:val="Table List Number"/>
    <w:basedOn w:val="ListNumber"/>
    <w:rsid w:val="00943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A6B"/>
    <w:pPr>
      <w:numPr>
        <w:numId w:val="7"/>
      </w:numPr>
    </w:pPr>
  </w:style>
  <w:style w:type="paragraph" w:customStyle="1" w:styleId="ListAlpha2">
    <w:name w:val="List Alpha 2"/>
    <w:basedOn w:val="List2"/>
    <w:rsid w:val="00943A6B"/>
    <w:pPr>
      <w:numPr>
        <w:numId w:val="6"/>
      </w:numPr>
    </w:pPr>
  </w:style>
  <w:style w:type="paragraph" w:styleId="List2">
    <w:name w:val="List 2"/>
    <w:basedOn w:val="BodyText"/>
    <w:rsid w:val="00943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A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A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3A6B"/>
    <w:pPr>
      <w:numPr>
        <w:numId w:val="2"/>
      </w:numPr>
    </w:pPr>
  </w:style>
  <w:style w:type="paragraph" w:styleId="ListContinue2">
    <w:name w:val="List Continue 2"/>
    <w:basedOn w:val="List2"/>
    <w:rsid w:val="00943A6B"/>
    <w:pPr>
      <w:ind w:firstLine="0"/>
    </w:pPr>
  </w:style>
  <w:style w:type="paragraph" w:styleId="ListContinue3">
    <w:name w:val="List Continue 3"/>
    <w:basedOn w:val="List3"/>
    <w:rsid w:val="00943A6B"/>
    <w:pPr>
      <w:ind w:left="1021" w:firstLine="0"/>
    </w:pPr>
  </w:style>
  <w:style w:type="paragraph" w:styleId="ListContinue4">
    <w:name w:val="List Continue 4"/>
    <w:basedOn w:val="List4"/>
    <w:rsid w:val="00943A6B"/>
    <w:pPr>
      <w:ind w:firstLine="0"/>
    </w:pPr>
  </w:style>
  <w:style w:type="paragraph" w:styleId="ListContinue5">
    <w:name w:val="List Continue 5"/>
    <w:basedOn w:val="List5"/>
    <w:rsid w:val="00943A6B"/>
    <w:pPr>
      <w:ind w:firstLine="0"/>
    </w:pPr>
  </w:style>
  <w:style w:type="paragraph" w:styleId="ListNumber3">
    <w:name w:val="List Number 3"/>
    <w:basedOn w:val="List3"/>
    <w:rsid w:val="00943A6B"/>
    <w:pPr>
      <w:numPr>
        <w:numId w:val="3"/>
      </w:numPr>
    </w:pPr>
  </w:style>
  <w:style w:type="paragraph" w:styleId="ListNumber4">
    <w:name w:val="List Number 4"/>
    <w:basedOn w:val="List4"/>
    <w:rsid w:val="00943A6B"/>
    <w:pPr>
      <w:numPr>
        <w:numId w:val="4"/>
      </w:numPr>
    </w:pPr>
  </w:style>
  <w:style w:type="paragraph" w:styleId="ListNumber5">
    <w:name w:val="List Number 5"/>
    <w:basedOn w:val="List5"/>
    <w:rsid w:val="00943A6B"/>
    <w:pPr>
      <w:numPr>
        <w:numId w:val="5"/>
      </w:numPr>
    </w:pPr>
  </w:style>
  <w:style w:type="paragraph" w:styleId="BlockText">
    <w:name w:val="Block Text"/>
    <w:basedOn w:val="Normal"/>
    <w:rsid w:val="00943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A6B"/>
    <w:rPr>
      <w:sz w:val="16"/>
      <w:vertAlign w:val="superscript"/>
    </w:rPr>
  </w:style>
  <w:style w:type="character" w:customStyle="1" w:styleId="Symbols">
    <w:name w:val="Symbols"/>
    <w:basedOn w:val="DefaultParagraphFont"/>
    <w:rsid w:val="00943A6B"/>
    <w:rPr>
      <w:rFonts w:ascii="Symbol" w:hAnsi="Symbol"/>
    </w:rPr>
  </w:style>
  <w:style w:type="character" w:customStyle="1" w:styleId="MenuOptions">
    <w:name w:val="Menu Options"/>
    <w:basedOn w:val="DefaultParagraphFont"/>
    <w:rsid w:val="00943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A6B"/>
    <w:rPr>
      <w:b/>
    </w:rPr>
  </w:style>
  <w:style w:type="character" w:customStyle="1" w:styleId="Underlined">
    <w:name w:val="Underlined"/>
    <w:basedOn w:val="DefaultParagraphFont"/>
    <w:rsid w:val="00943A6B"/>
    <w:rPr>
      <w:u w:val="single"/>
    </w:rPr>
  </w:style>
  <w:style w:type="paragraph" w:customStyle="1" w:styleId="TableBodyTextRight">
    <w:name w:val="Table Body Text Right"/>
    <w:basedOn w:val="TableBodyText"/>
    <w:rsid w:val="00943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A6B"/>
    <w:rPr>
      <w:sz w:val="18"/>
    </w:rPr>
  </w:style>
  <w:style w:type="paragraph" w:customStyle="1" w:styleId="BodySmallRight">
    <w:name w:val="Body Small Right"/>
    <w:basedOn w:val="BodyTextRight"/>
    <w:rsid w:val="00943A6B"/>
    <w:rPr>
      <w:sz w:val="18"/>
      <w:szCs w:val="18"/>
    </w:rPr>
  </w:style>
  <w:style w:type="paragraph" w:customStyle="1" w:styleId="MarginEdition">
    <w:name w:val="Margin Edition"/>
    <w:basedOn w:val="MarginNote"/>
    <w:rsid w:val="00943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A6B"/>
    <w:rPr>
      <w:sz w:val="2"/>
      <w:szCs w:val="2"/>
    </w:rPr>
  </w:style>
  <w:style w:type="character" w:customStyle="1" w:styleId="Small">
    <w:name w:val="Small"/>
    <w:basedOn w:val="DefaultParagraphFont"/>
    <w:rsid w:val="00943A6B"/>
    <w:rPr>
      <w:sz w:val="16"/>
    </w:rPr>
  </w:style>
  <w:style w:type="paragraph" w:customStyle="1" w:styleId="WideTable">
    <w:name w:val="Wide Table"/>
    <w:basedOn w:val="Normal"/>
    <w:rsid w:val="00943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A6B"/>
  </w:style>
  <w:style w:type="paragraph" w:styleId="Quote">
    <w:name w:val="Quote"/>
    <w:basedOn w:val="Heading1"/>
    <w:link w:val="QuoteChar"/>
    <w:qFormat/>
    <w:rsid w:val="00943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A6B"/>
    <w:pPr>
      <w:pageBreakBefore/>
    </w:pPr>
  </w:style>
  <w:style w:type="paragraph" w:customStyle="1" w:styleId="Border">
    <w:name w:val="Border"/>
    <w:basedOn w:val="Normal"/>
    <w:qFormat/>
    <w:rsid w:val="00943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A6B"/>
    <w:rPr>
      <w:u w:val="single"/>
    </w:rPr>
  </w:style>
  <w:style w:type="character" w:customStyle="1" w:styleId="BoldandItalics">
    <w:name w:val="Bold and Italics"/>
    <w:qFormat/>
    <w:rsid w:val="00943A6B"/>
    <w:rPr>
      <w:b/>
      <w:i/>
      <w:u w:val="none"/>
    </w:rPr>
  </w:style>
  <w:style w:type="paragraph" w:styleId="BalloonText">
    <w:name w:val="Balloon Text"/>
    <w:basedOn w:val="Normal"/>
    <w:link w:val="BalloonTextChar"/>
    <w:rsid w:val="00943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A6B"/>
    <w:pPr>
      <w:spacing w:before="0" w:after="0"/>
    </w:pPr>
  </w:style>
  <w:style w:type="paragraph" w:customStyle="1" w:styleId="BodyTextBold">
    <w:name w:val="Body Text Bold"/>
    <w:basedOn w:val="BodyText"/>
    <w:qFormat/>
    <w:rsid w:val="00943A6B"/>
    <w:rPr>
      <w:b/>
    </w:rPr>
  </w:style>
  <w:style w:type="character" w:styleId="Hyperlink">
    <w:name w:val="Hyperlink"/>
    <w:basedOn w:val="DefaultParagraphFont"/>
    <w:uiPriority w:val="99"/>
    <w:unhideWhenUsed/>
    <w:rsid w:val="00DF52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5096</Characters>
  <Application>Microsoft Office Word</Application>
  <DocSecurity>0</DocSecurity>
  <Lines>242</Lines>
  <Paragraphs>103</Paragraphs>
  <ScaleCrop>false</ScaleCrop>
  <Company>Author-it Software Corporation Ltd.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TLIX0067 Manage and monitor technical data and information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