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03B" w:rsidP="00D71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TLIX0067 Manage and monitor technical data and information systems</w:t>
      </w:r>
      <w:r>
        <w:fldChar w:fldCharType="end"/>
      </w:r>
    </w:p>
    <w:p w:rsidR="00D7103B" w:rsidP="00D7103B">
      <w:pPr>
        <w:pStyle w:val="Version"/>
        <w:sectPr w:rsidSect="007B5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648" w:rsidP="007B5648">
      <w:pPr>
        <w:pStyle w:val="SuperHeading"/>
      </w:pPr>
      <w:r w:rsidRPr="007B5648">
        <w:t>TLIX0067 Manage and monitor technical data and information systems</w:t>
      </w:r>
    </w:p>
    <w:p w:rsidR="00000000" w:rsidRPr="007B5648" w:rsidP="007B5648">
      <w:pPr>
        <w:pStyle w:val="Heading1"/>
      </w:pPr>
      <w:bookmarkStart w:id="1" w:name="O_1269029"/>
      <w:bookmarkEnd w:id="1"/>
      <w:r w:rsidRPr="007B56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Release 1.</w:t>
            </w:r>
            <w:r w:rsidRPr="007B5648">
              <w:t xml:space="preserve"> This is the first release of this unit of competency in the TLI Transport and Logistics Training Package.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2" w:name="O_1269030"/>
      <w:bookmarkEnd w:id="2"/>
      <w:r w:rsidRPr="007B56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t>This unit involves the skills and knowledge required to manage and monitor technical data and information systems.</w:t>
            </w:r>
          </w:p>
          <w:p w:rsidR="00000000" w:rsidRPr="007B5648" w:rsidP="007B5648">
            <w:pPr>
              <w:pStyle w:val="BodyText"/>
            </w:pPr>
            <w:r w:rsidRPr="007B5648">
              <w:t>It includes designating detailed technical data, information use and maintenance responsibilities; developing key performance indicators for</w:t>
            </w:r>
            <w:r w:rsidRPr="007B5648">
              <w:t xml:space="preserve"> technical data management activities; and developing monitoring methodology.</w:t>
            </w:r>
          </w:p>
          <w:p w:rsidR="00000000" w:rsidRPr="007B5648" w:rsidP="007B5648">
            <w:pPr>
              <w:pStyle w:val="BodyText"/>
            </w:pPr>
            <w:r w:rsidRPr="007B5648">
              <w:t>It also includes monitoring technical data management systems; identifying and responding to problems and changes; and designating technical data and information creation and cap</w:t>
            </w:r>
            <w:r w:rsidRPr="007B5648">
              <w:t>turing responsibilities.</w:t>
            </w:r>
          </w:p>
          <w:p w:rsidR="00000000" w:rsidRPr="007B5648" w:rsidP="007B5648">
            <w:pPr>
              <w:pStyle w:val="BodyText"/>
            </w:pPr>
            <w:r w:rsidRPr="007B5648">
              <w:t xml:space="preserve">This competency occurs within an established systems framework. It may also be used to review systems processes and activities. </w:t>
            </w:r>
          </w:p>
          <w:p w:rsidR="00000000" w:rsidRPr="007B5648" w:rsidP="007B5648">
            <w:pPr>
              <w:pStyle w:val="BodyText"/>
            </w:pPr>
            <w:r w:rsidRPr="007B5648">
              <w:t xml:space="preserve">This unit applies to technical regulatory framework specialists working within materiel logistics but </w:t>
            </w:r>
            <w:r w:rsidRPr="007B5648">
              <w:t>may be applicable to any individual in this field of work.</w:t>
            </w:r>
          </w:p>
          <w:p w:rsidR="00000000" w:rsidRPr="007B5648" w:rsidP="007B5648">
            <w:pPr>
              <w:pStyle w:val="BodyText"/>
            </w:pPr>
            <w:r w:rsidRPr="007B5648">
              <w:t>Individuals must demonstrate the ability to work independently or as part of a team under direct or indirect supervision, use discretion and judgement, and take responsibility for the quality of th</w:t>
            </w:r>
            <w:r w:rsidRPr="007B5648">
              <w:t xml:space="preserve">eir output. </w:t>
            </w:r>
          </w:p>
          <w:p w:rsidR="00000000" w:rsidRPr="007B5648" w:rsidP="007B5648">
            <w:pPr>
              <w:pStyle w:val="BodyText"/>
            </w:pPr>
            <w:r w:rsidRPr="007B5648">
              <w:t>No licensing, legislative or certification requirements apply to this unit at the time of publication.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3" w:name="O_1269031"/>
      <w:bookmarkEnd w:id="3"/>
      <w:r w:rsidRPr="007B56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t>Not applicable.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4" w:name="O_1269032"/>
      <w:bookmarkEnd w:id="4"/>
      <w:r w:rsidRPr="007B56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t>X ‒ Logistics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5" w:name="O_1269033"/>
      <w:bookmarkEnd w:id="5"/>
      <w:r w:rsidRPr="007B56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t>Not applicable.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6" w:name="O_1269034"/>
      <w:bookmarkEnd w:id="6"/>
      <w:r w:rsidRPr="007B56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3"/>
        <w:gridCol w:w="3298"/>
        <w:gridCol w:w="1320"/>
        <w:gridCol w:w="4216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ELEMENTS</w:t>
            </w:r>
          </w:p>
        </w:tc>
        <w:tc>
          <w:tcPr>
            <w:tcW w:w="5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PERFORMANCE CRITERIA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Elements describe the essential outcomes.</w:t>
            </w:r>
          </w:p>
        </w:tc>
        <w:tc>
          <w:tcPr>
            <w:tcW w:w="55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Performance criteria describe the performance needed to demonstrate achievement of the element.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1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Designate detailed technical data and information use, and maintenance responsibilities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1.1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Responsibilities for technical data and information use and maintenance activities are designated to personnel in accordance with approved systems framework, organi</w:t>
            </w:r>
            <w:r w:rsidRPr="007B5648">
              <w:t>sational policy and individual capabilities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1.2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System operational rules are devised in compliance with approved systems framework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1.3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Resources for approved budget period are allocated in accordance with policy and strategic plan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2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Develop key performance indicators for technical data management activities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2.1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Measurable performance indicators are developed for technical data management activities in accordance with authorised systems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2.2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Individual personnel and organisational unit data management responsibilities are identified, communicated and documented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2.3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Acceptable range of variation for compliance is determined based on data management responsibilities, applicable data managemen</w:t>
            </w:r>
            <w:r w:rsidRPr="007B5648">
              <w:t>t systems and organisational risk management analysis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3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Develop monitoring methodology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3.1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Methodology for monitoring technical data management systems rules, standards and procedures is developed based on authorised systems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3.2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 xml:space="preserve">Timeframes involved, means of surveillance and forms of reporting are included in methodology developed 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3.3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 xml:space="preserve">Methodology, performance criteria and range of variation from standards and rules are submitted to appropriate </w:t>
            </w:r>
            <w:r w:rsidRPr="007B5648">
              <w:t>authority for approval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4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Monitor a technical data management system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4.1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Monitoring is undertaken in accordance with approved timeframes and frequency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4.2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Personnel being monitored are notified in accordance with organisational policy and guidelines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4.3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Variation from data management systems framework, rule, standards and procedures that exceed the agreed limit is noted and details recorded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4.4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 xml:space="preserve">Reports relating to technical data and information use and maintenance are provided to appropriate authority </w:t>
            </w:r>
            <w:r w:rsidRPr="007B5648">
              <w:t>in the required format and at the required intervals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5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Identify and respond to problems and changes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5.1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Problems and changes requiring a systematic response are identified from monitoring reports and external events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5.2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Recommendations are made for revisions to systems, procedures, and strategic plans in response to identified variations, changes and problems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5.3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Amendments to systems are devised and implementation is planned, in response to problems and changes that r</w:t>
            </w:r>
            <w:r w:rsidRPr="007B5648">
              <w:t>equire a systemic response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5.4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Recommendations for systems amendments and the planning and implementation required are prepared, and approval is sought from appropriate authority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5.5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Procedures for using technical data and information systems, and subsequent alterations and amendments to the procedures are authorised, ensuring that performance indicator parameters and access rules are adhered to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6</w:t>
            </w:r>
          </w:p>
        </w:tc>
        <w:tc>
          <w:tcPr>
            <w:tcW w:w="3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Designate technical data and informat</w:t>
            </w:r>
            <w:r w:rsidRPr="007B5648">
              <w:rPr>
                <w:rStyle w:val="SpecialBold"/>
              </w:rPr>
              <w:t>ion creation and capture responsibilities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6.1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Responsibilities for technical data and information creation and capture activities are designated to personnel in accordance with organisational policy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6.2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Technical data and information creation and capture performance targets are set within the parameters of the technical data management plan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>
            <w:pPr>
              <w:pStyle w:val="BodyText"/>
              <w:keepLines w:val="0"/>
              <w:spacing w:before="0" w:after="0"/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rPr>
                <w:rStyle w:val="SpecialBold"/>
              </w:rPr>
              <w:t>6.3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t>Resources for the budget period are allocated in accordance with organisational policy and strategic plan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7" w:name="O_1269035"/>
      <w:bookmarkEnd w:id="7"/>
      <w:r w:rsidRPr="007B56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t>Foundation skills essential to performance are explicit in the performance criteria of this unit of competency.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8" w:name="O_1269036"/>
      <w:bookmarkEnd w:id="8"/>
      <w:r w:rsidRPr="007B56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t>Range is restricted to essential operating conditions and any other variables essential to the work environment.</w:t>
            </w:r>
          </w:p>
          <w:p w:rsidR="00000000" w:rsidRPr="007B5648" w:rsidP="007B5648">
            <w:pPr>
              <w:pStyle w:val="BodyText"/>
            </w:pPr>
            <w:r w:rsidRPr="007B5648">
              <w:t>Non-essential conditions can be found in the Companion Volume Implementation Guide.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9" w:name="O_1269037"/>
      <w:bookmarkEnd w:id="9"/>
      <w:r w:rsidRPr="007B56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t>This unit rep</w:t>
            </w:r>
            <w:r w:rsidRPr="007B5648">
              <w:t>laces and is equivalent to TLIX5036 Manage and monitor technical data and information systems.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10" w:name="O_1269044"/>
      <w:bookmarkEnd w:id="10"/>
      <w:r w:rsidRPr="007B5648">
        <w:t>Links</w:t>
      </w:r>
    </w:p>
    <w:p w:rsidR="00000000" w:rsidRPr="007B5648" w:rsidP="00D7103B">
      <w:pPr>
        <w:pStyle w:val="BodyText"/>
      </w:pPr>
      <w:r w:rsidRPr="007B5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29B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5648" w:rsidP="00D7103B">
      <w:pPr>
        <w:pStyle w:val="BodyText"/>
        <w:sectPr w:rsidSect="007B56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5648" w:rsidP="007B5648">
      <w:pPr>
        <w:pStyle w:val="SuperHeading"/>
      </w:pPr>
      <w:r w:rsidRPr="007B5648">
        <w:t>Assessment Requirements for TLIX0067 Manage and monitor technical data and information systems</w:t>
      </w:r>
    </w:p>
    <w:p w:rsidR="00000000" w:rsidRPr="007B5648" w:rsidP="007B5648">
      <w:pPr>
        <w:pStyle w:val="Heading1"/>
      </w:pPr>
      <w:bookmarkStart w:id="11" w:name="O_1269039"/>
      <w:bookmarkEnd w:id="11"/>
      <w:r w:rsidRPr="007B56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rPr>
                <w:rStyle w:val="SpecialBold"/>
              </w:rPr>
              <w:t>Release 1.</w:t>
            </w:r>
            <w:r w:rsidRPr="007B5648">
              <w:t xml:space="preserve"> This is the f</w:t>
            </w:r>
            <w:r w:rsidRPr="007B5648">
              <w:t>irst release of this unit of competency in the TLI Transport and Logistics Training Package.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12" w:name="O_1269040"/>
      <w:bookmarkEnd w:id="12"/>
      <w:r w:rsidRPr="007B56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ListBullet"/>
            </w:pPr>
            <w:r w:rsidRPr="007B5648">
              <w:t>analysing data and information</w:t>
            </w:r>
          </w:p>
          <w:p w:rsidR="00000000" w:rsidRPr="007B5648" w:rsidP="007B5648">
            <w:pPr>
              <w:pStyle w:val="ListBullet"/>
            </w:pPr>
            <w:r w:rsidRPr="007B5648">
              <w:t>applying knowledge of technical da</w:t>
            </w:r>
            <w:r w:rsidRPr="007B5648">
              <w:t>ta and information plans to assist work and to guide problem solving</w:t>
            </w:r>
          </w:p>
          <w:p w:rsidR="00000000" w:rsidRPr="007B5648" w:rsidP="007B5648">
            <w:pPr>
              <w:pStyle w:val="ListBullet"/>
            </w:pPr>
            <w:r w:rsidRPr="007B5648">
              <w:t>applying relevant implementation processes</w:t>
            </w:r>
          </w:p>
          <w:p w:rsidR="00000000" w:rsidRPr="007B5648" w:rsidP="007B5648">
            <w:pPr>
              <w:pStyle w:val="ListBullet"/>
            </w:pPr>
            <w:r w:rsidRPr="007B5648">
              <w:t>applying technical data and information, and project management knowledge to technical data and information systems</w:t>
            </w:r>
          </w:p>
          <w:p w:rsidR="00000000" w:rsidRPr="007B5648" w:rsidP="007B5648">
            <w:pPr>
              <w:pStyle w:val="ListBullet"/>
            </w:pPr>
            <w:r w:rsidRPr="007B5648">
              <w:t>consulting and negotiating e</w:t>
            </w:r>
            <w:r w:rsidRPr="007B5648">
              <w:t>ffectively with personnel and resolving potential areas of conflict or concern to ensure overall technical data and information systems objectives are achieved</w:t>
            </w:r>
          </w:p>
          <w:p w:rsidR="00000000" w:rsidRPr="007B5648" w:rsidP="007B5648">
            <w:pPr>
              <w:pStyle w:val="ListBullet"/>
            </w:pPr>
            <w:r w:rsidRPr="007B5648">
              <w:t>identifying the relationship between organisational goals and recognising how own work contribut</w:t>
            </w:r>
            <w:r w:rsidRPr="007B5648">
              <w:t>es to achieving these goals</w:t>
            </w:r>
          </w:p>
          <w:p w:rsidR="00000000" w:rsidRPr="007B5648" w:rsidP="007B5648">
            <w:pPr>
              <w:pStyle w:val="ListBullet"/>
            </w:pPr>
            <w:r w:rsidRPr="007B5648">
              <w:t>implementing processes to enable new technical data and information systems requirements to be effectively transitioned across the life cycle including integrated logistics support considerations, environmental, sustainability i</w:t>
            </w:r>
            <w:r w:rsidRPr="007B5648">
              <w:t>ssues, and validation and verification activities</w:t>
            </w:r>
          </w:p>
          <w:p w:rsidR="00000000" w:rsidRPr="007B5648" w:rsidP="007B5648">
            <w:pPr>
              <w:pStyle w:val="ListBullet"/>
            </w:pPr>
            <w:r w:rsidRPr="007B5648">
              <w:t>incorporating feedback and analysis of information to overcome challenges or setbacks</w:t>
            </w:r>
          </w:p>
          <w:p w:rsidR="00000000" w:rsidRPr="007B5648" w:rsidP="007B5648">
            <w:pPr>
              <w:pStyle w:val="ListBullet"/>
            </w:pPr>
            <w:r w:rsidRPr="007B5648">
              <w:t>monitoring and reporting on implementation processes</w:t>
            </w:r>
          </w:p>
          <w:p w:rsidR="00000000" w:rsidRPr="007B5648" w:rsidP="007B5648">
            <w:pPr>
              <w:pStyle w:val="ListBullet"/>
            </w:pPr>
            <w:r w:rsidRPr="007B5648">
              <w:t>monitoring processes to ensure technical data and information systems continue to enable operational requirements to be attained</w:t>
            </w:r>
          </w:p>
          <w:p w:rsidR="00000000" w:rsidRPr="007B5648" w:rsidP="007B5648">
            <w:pPr>
              <w:pStyle w:val="ListBullet"/>
            </w:pPr>
            <w:r w:rsidRPr="007B5648">
              <w:t>obtaining appropriate authorisations.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13" w:name="O_1269041"/>
      <w:bookmarkEnd w:id="13"/>
      <w:r w:rsidRPr="007B56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648">
            <w:pPr>
              <w:pStyle w:val="BodyText"/>
              <w:rPr>
                <w:lang w:val="en-NZ"/>
              </w:rPr>
            </w:pPr>
            <w:r w:rsidRPr="007B5648">
              <w:t>Evidence required to demonstrate competence in th</w:t>
            </w:r>
            <w:r w:rsidRPr="007B5648">
              <w:t>is unit must be relevant to and satisfy all the requirements of the elements and performance criteria and include knowledge of:</w:t>
            </w:r>
          </w:p>
        </w:tc>
      </w:tr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ListBullet"/>
            </w:pPr>
            <w:r w:rsidRPr="007B5648">
              <w:t>authorisation policies and processes</w:t>
            </w:r>
          </w:p>
          <w:p w:rsidR="00000000" w:rsidRPr="007B5648" w:rsidP="007B5648">
            <w:pPr>
              <w:pStyle w:val="ListBullet"/>
            </w:pPr>
            <w:r w:rsidRPr="007B5648">
              <w:t>communication channels and protocols</w:t>
            </w:r>
          </w:p>
          <w:p w:rsidR="00000000" w:rsidRPr="007B5648" w:rsidP="007B5648">
            <w:pPr>
              <w:pStyle w:val="ListBullet"/>
            </w:pPr>
            <w:r w:rsidRPr="007B5648">
              <w:t>data management, standards, principles, processes an</w:t>
            </w:r>
            <w:r w:rsidRPr="007B5648">
              <w:t>d functional requirements</w:t>
            </w:r>
          </w:p>
          <w:p w:rsidR="00000000" w:rsidRPr="007B5648" w:rsidP="007B5648">
            <w:pPr>
              <w:pStyle w:val="ListBullet"/>
            </w:pPr>
            <w:r w:rsidRPr="007B5648">
              <w:t>details of the technical regulatory framework, organisational engineering management plans and technical data management plan</w:t>
            </w:r>
          </w:p>
          <w:p w:rsidR="00000000" w:rsidRPr="007B5648" w:rsidP="007B5648">
            <w:pPr>
              <w:pStyle w:val="ListBullet"/>
            </w:pPr>
            <w:r w:rsidRPr="007B5648">
              <w:t>organisational data management systems</w:t>
            </w:r>
          </w:p>
          <w:p w:rsidR="00000000" w:rsidRPr="007B5648" w:rsidP="007B5648">
            <w:pPr>
              <w:pStyle w:val="ListBullet"/>
            </w:pPr>
            <w:r w:rsidRPr="007B5648">
              <w:t>organisational functions, structure and personnel roles</w:t>
            </w:r>
          </w:p>
          <w:p w:rsidR="00000000" w:rsidRPr="007B5648" w:rsidP="007B5648">
            <w:pPr>
              <w:pStyle w:val="ListBullet"/>
            </w:pPr>
            <w:r w:rsidRPr="007B5648">
              <w:t>organisational policy, strategies and procedures</w:t>
            </w:r>
          </w:p>
          <w:p w:rsidR="00000000" w:rsidRPr="007B5648" w:rsidP="007B5648">
            <w:pPr>
              <w:pStyle w:val="ListBullet"/>
            </w:pPr>
            <w:r w:rsidRPr="007B5648">
              <w:t>organisational rules for capturing, accessing, using and maintaining technical data and information</w:t>
            </w:r>
          </w:p>
          <w:p w:rsidR="00000000" w:rsidRPr="007B5648" w:rsidP="007B5648">
            <w:pPr>
              <w:pStyle w:val="ListBullet"/>
            </w:pPr>
            <w:r w:rsidRPr="007B5648">
              <w:t>organisational technical classification scheme and language</w:t>
            </w:r>
          </w:p>
          <w:p w:rsidR="00000000" w:rsidRPr="007B5648" w:rsidP="007B5648">
            <w:pPr>
              <w:pStyle w:val="ListBullet"/>
            </w:pPr>
            <w:r w:rsidRPr="007B5648">
              <w:t>own role in relation to wider organisational or</w:t>
            </w:r>
            <w:r w:rsidRPr="007B5648">
              <w:t xml:space="preserve"> project context</w:t>
            </w:r>
          </w:p>
          <w:p w:rsidR="00000000" w:rsidRPr="007B5648" w:rsidP="007B5648">
            <w:pPr>
              <w:pStyle w:val="ListBullet"/>
            </w:pPr>
            <w:r w:rsidRPr="007B5648">
              <w:t>problem identification and resolution</w:t>
            </w:r>
          </w:p>
          <w:p w:rsidR="00000000" w:rsidRPr="007B5648" w:rsidP="007B5648">
            <w:pPr>
              <w:pStyle w:val="ListBullet"/>
            </w:pPr>
            <w:r w:rsidRPr="007B5648">
              <w:t>procedures for recording, reporting and maintaining workplace records and information</w:t>
            </w:r>
          </w:p>
          <w:p w:rsidR="00000000" w:rsidRPr="007B5648" w:rsidP="007B5648">
            <w:pPr>
              <w:pStyle w:val="ListBullet"/>
            </w:pPr>
            <w:r w:rsidRPr="007B5648">
              <w:t>quality assurance principles and processes</w:t>
            </w:r>
          </w:p>
          <w:p w:rsidR="00000000" w:rsidRPr="007B5648" w:rsidP="007B5648">
            <w:pPr>
              <w:pStyle w:val="ListBullet"/>
            </w:pPr>
            <w:r w:rsidRPr="007B5648">
              <w:t>technical expertise required for each project</w:t>
            </w:r>
          </w:p>
          <w:p w:rsidR="00000000" w:rsidRPr="007B5648" w:rsidP="007B5648">
            <w:pPr>
              <w:pStyle w:val="ListBullet"/>
            </w:pPr>
            <w:r w:rsidRPr="007B5648">
              <w:t>workflow and business proc</w:t>
            </w:r>
            <w:r w:rsidRPr="007B5648">
              <w:t>ess re-engineering principles and practices.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14" w:name="O_1269042"/>
      <w:bookmarkEnd w:id="14"/>
      <w:r w:rsidRPr="007B56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6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648" w:rsidP="007B5648">
            <w:pPr>
              <w:pStyle w:val="BodyText"/>
            </w:pPr>
            <w:r w:rsidRPr="007B5648">
              <w:t xml:space="preserve">Assessors must hold credentials specified within the Standards for Registered Training Organisations current at the time of assessment. </w:t>
            </w:r>
          </w:p>
          <w:p w:rsidR="00000000" w:rsidRPr="007B5648" w:rsidP="007B5648">
            <w:pPr>
              <w:pStyle w:val="BodyText"/>
            </w:pPr>
            <w:r w:rsidRPr="007B564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B5648" w:rsidP="007B5648">
            <w:pPr>
              <w:pStyle w:val="BodyText"/>
            </w:pPr>
            <w:r w:rsidRPr="007B5648">
              <w:t>Assessment must occur in workplace operational</w:t>
            </w:r>
            <w:r w:rsidRPr="007B564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7B5648" w:rsidP="007B5648">
            <w:pPr>
              <w:pStyle w:val="BodyText"/>
            </w:pPr>
            <w:r w:rsidRPr="007B5648">
              <w:t>Assessment processes and techniques must be appropriate to the language, l</w:t>
            </w:r>
            <w:r w:rsidRPr="007B5648">
              <w:t>iteracy and numeracy requirements of the work being performed and the needs of the candidate.</w:t>
            </w:r>
          </w:p>
          <w:p w:rsidR="00000000" w:rsidRPr="007B5648" w:rsidP="007B5648">
            <w:pPr>
              <w:pStyle w:val="BodyText"/>
            </w:pPr>
            <w:r w:rsidRPr="007B5648">
              <w:t>Resources for assessment must include access to:</w:t>
            </w:r>
          </w:p>
          <w:p w:rsidR="00000000" w:rsidRPr="007B5648" w:rsidP="007B5648">
            <w:pPr>
              <w:pStyle w:val="ListBullet"/>
            </w:pPr>
            <w:r w:rsidRPr="007B5648">
              <w:t>relevant and appropriate materials, tools, equipment and personal protective equipment currently used in industr</w:t>
            </w:r>
            <w:r w:rsidRPr="007B5648">
              <w:t>y</w:t>
            </w:r>
          </w:p>
          <w:p w:rsidR="00000000" w:rsidRPr="007B5648" w:rsidP="007B5648">
            <w:pPr>
              <w:pStyle w:val="ListBullet"/>
            </w:pPr>
            <w:r w:rsidRPr="007B5648">
              <w:t>applicable documentation including legislation, regulations, codes of practice, workplace procedures and operation manuals.</w:t>
            </w:r>
          </w:p>
        </w:tc>
      </w:tr>
    </w:tbl>
    <w:p w:rsidR="00000000" w:rsidRPr="007B5648" w:rsidP="007B5648">
      <w:pPr>
        <w:pStyle w:val="NoPaddingFontSize1"/>
      </w:pPr>
    </w:p>
    <w:p w:rsidR="00000000" w:rsidRPr="007B5648" w:rsidP="007B5648">
      <w:pPr>
        <w:pStyle w:val="AllowPageBreak"/>
      </w:pPr>
    </w:p>
    <w:p w:rsidR="00000000" w:rsidRPr="007B5648" w:rsidP="007B5648">
      <w:pPr>
        <w:pStyle w:val="Heading1"/>
      </w:pPr>
      <w:bookmarkStart w:id="15" w:name="O_1269045"/>
      <w:bookmarkEnd w:id="15"/>
      <w:r w:rsidRPr="007B5648">
        <w:t>Links</w:t>
      </w:r>
    </w:p>
    <w:p w:rsidR="00000000" w:rsidRPr="007B5648" w:rsidP="00D7103B">
      <w:pPr>
        <w:pStyle w:val="BodyText"/>
      </w:pPr>
      <w:r w:rsidRPr="007B5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29B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5648" w:rsidP="007B5648"/>
    <w:sectPr w:rsidSect="007B56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48" w:rsidRPr="00D7103B" w:rsidP="00D71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3B" w:rsidP="007B5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103B" w:rsidP="007B5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7103B" w:rsidP="007B56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48" w:rsidP="007B5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103B">
      <w:t>Approved</w:t>
    </w:r>
    <w:r w:rsidR="00D710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10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103B">
      <w:rPr>
        <w:noProof/>
      </w:rPr>
      <w:t>5</w:t>
    </w:r>
    <w:r>
      <w:rPr>
        <w:noProof/>
      </w:rPr>
      <w:fldChar w:fldCharType="end"/>
    </w:r>
  </w:p>
  <w:p w:rsidR="007B5648" w:rsidP="007B5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10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103B">
      <w:t>Industry Skills Australia</w:t>
    </w:r>
    <w:r w:rsidR="00D7103B">
      <w:fldChar w:fldCharType="end"/>
    </w:r>
  </w:p>
  <w:p w:rsidR="007B5648" w:rsidP="007B5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648" w:rsidRPr="00D7103B" w:rsidP="00D71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3B" w:rsidRPr="002D2AF8" w:rsidP="007B5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TLIX0067 Manage and monitor technical data and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103B" w:rsidP="007B56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648" w:rsidRPr="002D2AF8" w:rsidP="007B5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103B">
      <w:t>TLIX0067 Manage and monitor technical data and information systems</w:t>
    </w:r>
    <w:r w:rsidR="00D710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103B">
      <w:rPr>
        <w:noProof/>
      </w:rPr>
      <w:t>2 March 2025</w:t>
    </w:r>
    <w:r>
      <w:fldChar w:fldCharType="end"/>
    </w:r>
  </w:p>
  <w:p w:rsidR="007B5648" w:rsidP="007B5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148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383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648"/>
  </w:style>
  <w:style w:type="character" w:customStyle="1" w:styleId="Heading1Char">
    <w:name w:val="Heading 1 Char"/>
    <w:basedOn w:val="DefaultParagraphFont"/>
    <w:link w:val="Heading1"/>
    <w:rsid w:val="007B5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6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648"/>
    <w:rPr>
      <w:b/>
      <w:spacing w:val="0"/>
    </w:rPr>
  </w:style>
  <w:style w:type="paragraph" w:customStyle="1" w:styleId="SuperHeading">
    <w:name w:val="SuperHeading"/>
    <w:basedOn w:val="Normal"/>
    <w:rsid w:val="007B5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5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6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648"/>
    <w:rPr>
      <w:i/>
    </w:rPr>
  </w:style>
  <w:style w:type="paragraph" w:styleId="Caption">
    <w:name w:val="caption"/>
    <w:basedOn w:val="BodyText"/>
    <w:next w:val="Normal"/>
    <w:qFormat/>
    <w:rsid w:val="007B5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648"/>
  </w:style>
  <w:style w:type="paragraph" w:styleId="TableofFigures">
    <w:name w:val="table of figures"/>
    <w:basedOn w:val="Normal"/>
    <w:next w:val="Normal"/>
    <w:semiHidden/>
    <w:rsid w:val="007B5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6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5648"/>
    <w:rPr>
      <w:rFonts w:ascii="Wingdings" w:hAnsi="Wingdings"/>
    </w:rPr>
  </w:style>
  <w:style w:type="paragraph" w:customStyle="1" w:styleId="TableHeading">
    <w:name w:val="Table Heading"/>
    <w:basedOn w:val="HeadingBase"/>
    <w:rsid w:val="007B5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648"/>
    <w:rPr>
      <w:color w:val="0033CC"/>
      <w:u w:val="none"/>
    </w:rPr>
  </w:style>
  <w:style w:type="paragraph" w:customStyle="1" w:styleId="BodyTextRight">
    <w:name w:val="Body Text Right"/>
    <w:basedOn w:val="BodyText"/>
    <w:rsid w:val="007B5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6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648"/>
    <w:rPr>
      <w:sz w:val="32"/>
    </w:rPr>
  </w:style>
  <w:style w:type="paragraph" w:customStyle="1" w:styleId="HeadingProcedure">
    <w:name w:val="Heading Procedure"/>
    <w:basedOn w:val="HeadingBase"/>
    <w:next w:val="Normal"/>
    <w:rsid w:val="007B5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648"/>
    <w:pPr>
      <w:spacing w:before="60" w:after="60"/>
    </w:pPr>
  </w:style>
  <w:style w:type="paragraph" w:styleId="ListContinue">
    <w:name w:val="List Continue"/>
    <w:basedOn w:val="List"/>
    <w:rsid w:val="007B5648"/>
    <w:pPr>
      <w:ind w:firstLine="0"/>
    </w:pPr>
  </w:style>
  <w:style w:type="paragraph" w:customStyle="1" w:styleId="ListNote">
    <w:name w:val="List Note"/>
    <w:basedOn w:val="List"/>
    <w:rsid w:val="007B5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648"/>
    <w:rPr>
      <w:rFonts w:ascii="Courier New" w:hAnsi="Courier New"/>
    </w:rPr>
  </w:style>
  <w:style w:type="paragraph" w:customStyle="1" w:styleId="NoteBullet">
    <w:name w:val="Note Bullet"/>
    <w:basedOn w:val="Note"/>
    <w:rsid w:val="007B5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6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5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648"/>
    <w:rPr>
      <w:b/>
      <w:smallCaps/>
    </w:rPr>
  </w:style>
  <w:style w:type="paragraph" w:customStyle="1" w:styleId="TableListNumber">
    <w:name w:val="Table List Number"/>
    <w:basedOn w:val="ListNumber"/>
    <w:rsid w:val="007B5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648"/>
    <w:pPr>
      <w:numPr>
        <w:numId w:val="8"/>
      </w:numPr>
    </w:pPr>
  </w:style>
  <w:style w:type="paragraph" w:customStyle="1" w:styleId="ListAlpha2">
    <w:name w:val="List Alpha 2"/>
    <w:basedOn w:val="List2"/>
    <w:rsid w:val="007B5648"/>
    <w:pPr>
      <w:numPr>
        <w:numId w:val="7"/>
      </w:numPr>
    </w:pPr>
  </w:style>
  <w:style w:type="paragraph" w:styleId="List2">
    <w:name w:val="List 2"/>
    <w:basedOn w:val="BodyText"/>
    <w:rsid w:val="007B5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6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6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5648"/>
    <w:pPr>
      <w:numPr>
        <w:numId w:val="3"/>
      </w:numPr>
    </w:pPr>
  </w:style>
  <w:style w:type="paragraph" w:styleId="ListContinue2">
    <w:name w:val="List Continue 2"/>
    <w:basedOn w:val="List2"/>
    <w:rsid w:val="007B5648"/>
    <w:pPr>
      <w:ind w:firstLine="0"/>
    </w:pPr>
  </w:style>
  <w:style w:type="paragraph" w:styleId="ListContinue3">
    <w:name w:val="List Continue 3"/>
    <w:basedOn w:val="List3"/>
    <w:rsid w:val="007B5648"/>
    <w:pPr>
      <w:ind w:left="1021" w:firstLine="0"/>
    </w:pPr>
  </w:style>
  <w:style w:type="paragraph" w:styleId="ListContinue4">
    <w:name w:val="List Continue 4"/>
    <w:basedOn w:val="List4"/>
    <w:rsid w:val="007B5648"/>
    <w:pPr>
      <w:ind w:firstLine="0"/>
    </w:pPr>
  </w:style>
  <w:style w:type="paragraph" w:styleId="ListContinue5">
    <w:name w:val="List Continue 5"/>
    <w:basedOn w:val="List5"/>
    <w:rsid w:val="007B5648"/>
    <w:pPr>
      <w:ind w:firstLine="0"/>
    </w:pPr>
  </w:style>
  <w:style w:type="paragraph" w:styleId="ListNumber3">
    <w:name w:val="List Number 3"/>
    <w:basedOn w:val="List3"/>
    <w:rsid w:val="007B5648"/>
    <w:pPr>
      <w:numPr>
        <w:numId w:val="4"/>
      </w:numPr>
    </w:pPr>
  </w:style>
  <w:style w:type="paragraph" w:styleId="ListNumber4">
    <w:name w:val="List Number 4"/>
    <w:basedOn w:val="List4"/>
    <w:rsid w:val="007B5648"/>
    <w:pPr>
      <w:numPr>
        <w:numId w:val="5"/>
      </w:numPr>
    </w:pPr>
  </w:style>
  <w:style w:type="paragraph" w:styleId="ListNumber5">
    <w:name w:val="List Number 5"/>
    <w:basedOn w:val="List5"/>
    <w:rsid w:val="007B5648"/>
    <w:pPr>
      <w:numPr>
        <w:numId w:val="6"/>
      </w:numPr>
    </w:pPr>
  </w:style>
  <w:style w:type="paragraph" w:styleId="BlockText">
    <w:name w:val="Block Text"/>
    <w:basedOn w:val="Normal"/>
    <w:rsid w:val="007B5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6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648"/>
    <w:rPr>
      <w:sz w:val="16"/>
      <w:vertAlign w:val="superscript"/>
    </w:rPr>
  </w:style>
  <w:style w:type="character" w:customStyle="1" w:styleId="Symbols">
    <w:name w:val="Symbols"/>
    <w:basedOn w:val="DefaultParagraphFont"/>
    <w:rsid w:val="007B5648"/>
    <w:rPr>
      <w:rFonts w:ascii="Symbol" w:hAnsi="Symbol"/>
    </w:rPr>
  </w:style>
  <w:style w:type="character" w:customStyle="1" w:styleId="MenuOptions">
    <w:name w:val="Menu Options"/>
    <w:basedOn w:val="DefaultParagraphFont"/>
    <w:rsid w:val="007B5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648"/>
    <w:rPr>
      <w:b/>
    </w:rPr>
  </w:style>
  <w:style w:type="character" w:customStyle="1" w:styleId="Underlined">
    <w:name w:val="Underlined"/>
    <w:basedOn w:val="DefaultParagraphFont"/>
    <w:rsid w:val="007B5648"/>
    <w:rPr>
      <w:u w:val="single"/>
    </w:rPr>
  </w:style>
  <w:style w:type="paragraph" w:customStyle="1" w:styleId="TableBodyTextRight">
    <w:name w:val="Table Body Text Right"/>
    <w:basedOn w:val="TableBodyText"/>
    <w:rsid w:val="007B5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648"/>
    <w:rPr>
      <w:sz w:val="18"/>
    </w:rPr>
  </w:style>
  <w:style w:type="paragraph" w:customStyle="1" w:styleId="BodySmallRight">
    <w:name w:val="Body Small Right"/>
    <w:basedOn w:val="BodyTextRight"/>
    <w:rsid w:val="007B5648"/>
    <w:rPr>
      <w:sz w:val="18"/>
      <w:szCs w:val="18"/>
    </w:rPr>
  </w:style>
  <w:style w:type="paragraph" w:customStyle="1" w:styleId="MarginEdition">
    <w:name w:val="Margin Edition"/>
    <w:basedOn w:val="MarginNote"/>
    <w:rsid w:val="007B5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648"/>
    <w:rPr>
      <w:sz w:val="2"/>
      <w:szCs w:val="2"/>
    </w:rPr>
  </w:style>
  <w:style w:type="character" w:customStyle="1" w:styleId="Small">
    <w:name w:val="Small"/>
    <w:basedOn w:val="DefaultParagraphFont"/>
    <w:rsid w:val="007B5648"/>
    <w:rPr>
      <w:sz w:val="16"/>
    </w:rPr>
  </w:style>
  <w:style w:type="paragraph" w:customStyle="1" w:styleId="WideTable">
    <w:name w:val="Wide Table"/>
    <w:basedOn w:val="Normal"/>
    <w:rsid w:val="007B5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648"/>
  </w:style>
  <w:style w:type="paragraph" w:styleId="Quote">
    <w:name w:val="Quote"/>
    <w:basedOn w:val="Heading1"/>
    <w:link w:val="QuoteChar"/>
    <w:qFormat/>
    <w:rsid w:val="007B5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648"/>
    <w:pPr>
      <w:pageBreakBefore/>
    </w:pPr>
  </w:style>
  <w:style w:type="paragraph" w:customStyle="1" w:styleId="Border">
    <w:name w:val="Border"/>
    <w:basedOn w:val="Normal"/>
    <w:qFormat/>
    <w:rsid w:val="007B5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648"/>
    <w:rPr>
      <w:u w:val="single"/>
    </w:rPr>
  </w:style>
  <w:style w:type="character" w:customStyle="1" w:styleId="BoldandItalics">
    <w:name w:val="Bold and Italics"/>
    <w:qFormat/>
    <w:rsid w:val="007B5648"/>
    <w:rPr>
      <w:b/>
      <w:i/>
      <w:u w:val="none"/>
    </w:rPr>
  </w:style>
  <w:style w:type="paragraph" w:styleId="BalloonText">
    <w:name w:val="Balloon Text"/>
    <w:basedOn w:val="Normal"/>
    <w:link w:val="BalloonTextChar"/>
    <w:rsid w:val="007B5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648"/>
    <w:pPr>
      <w:spacing w:before="0" w:after="0"/>
    </w:pPr>
  </w:style>
  <w:style w:type="paragraph" w:customStyle="1" w:styleId="BodyTextBold">
    <w:name w:val="Body Text Bold"/>
    <w:basedOn w:val="BodyText"/>
    <w:qFormat/>
    <w:rsid w:val="007B5648"/>
    <w:rPr>
      <w:b/>
    </w:rPr>
  </w:style>
  <w:style w:type="character" w:styleId="Hyperlink">
    <w:name w:val="Hyperlink"/>
    <w:basedOn w:val="DefaultParagraphFont"/>
    <w:uiPriority w:val="99"/>
    <w:unhideWhenUsed/>
    <w:rsid w:val="00D71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1302</Words>
  <Characters>8662</Characters>
  <Application>Microsoft Office Word</Application>
  <DocSecurity>0</DocSecurity>
  <Lines>320</Lines>
  <Paragraphs>153</Paragraphs>
  <ScaleCrop>false</ScaleCrop>
  <Company>Author-it Software Corporation Ltd.</Company>
  <LinksUpToDate>false</LinksUpToDate>
  <CharactersWithSpaces>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TLIX0067 Manage and monitor technical data and information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