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705" w:rsidP="00FA7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TLIX0066 Manage and monitor catering on deployed operations</w:t>
      </w:r>
      <w:r>
        <w:fldChar w:fldCharType="end"/>
      </w:r>
    </w:p>
    <w:p w:rsidR="00FA7705" w:rsidP="00FA7705">
      <w:pPr>
        <w:pStyle w:val="Version"/>
        <w:sectPr w:rsidSect="00761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3C9" w:rsidP="007613C9">
      <w:pPr>
        <w:pStyle w:val="SuperHeading"/>
      </w:pPr>
      <w:r w:rsidRPr="007613C9">
        <w:t>TLIX0066 Manage and monitor catering on deployed operations</w:t>
      </w:r>
    </w:p>
    <w:p w:rsidR="00000000" w:rsidRPr="007613C9" w:rsidP="007613C9">
      <w:pPr>
        <w:pStyle w:val="Heading1"/>
      </w:pPr>
      <w:bookmarkStart w:id="1" w:name="O_1268990"/>
      <w:bookmarkEnd w:id="1"/>
      <w:r w:rsidRPr="007613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Release 1.</w:t>
            </w:r>
            <w:r w:rsidRPr="007613C9">
              <w:t xml:space="preserve"> This is the first release of this unit of competency in the TLI Transport and Logistics Training Package.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2" w:name="O_1268991"/>
      <w:bookmarkEnd w:id="2"/>
      <w:r w:rsidRPr="007613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 xml:space="preserve">This unit involves the skills and knowledge required to manage and </w:t>
            </w:r>
            <w:r w:rsidRPr="007613C9">
              <w:t>monitor catering on deployed operations.</w:t>
            </w:r>
          </w:p>
          <w:p w:rsidR="00000000" w:rsidRPr="007613C9" w:rsidP="007613C9">
            <w:pPr>
              <w:pStyle w:val="BodyText"/>
            </w:pPr>
            <w:r w:rsidRPr="007613C9">
              <w:t>It includes preparing for catering operations, ensuring compliance with food safety and managing food service. It also includes minimising waste and managing food and waste disposal.</w:t>
            </w:r>
          </w:p>
          <w:p w:rsidR="00000000" w:rsidRPr="007613C9" w:rsidP="007613C9">
            <w:pPr>
              <w:pStyle w:val="BodyText"/>
            </w:pPr>
            <w:r w:rsidRPr="007613C9">
              <w:t>This unit is applicable to logis</w:t>
            </w:r>
            <w:r w:rsidRPr="007613C9">
              <w:t>tics personnel responsible for organising and managing the delivery of catering support in a deployment context.</w:t>
            </w:r>
          </w:p>
          <w:p w:rsidR="00000000" w:rsidRPr="007613C9" w:rsidP="007613C9">
            <w:pPr>
              <w:pStyle w:val="BodyText"/>
            </w:pPr>
            <w:r w:rsidRPr="007613C9">
              <w:t>This unit may be undertaken by personnel who are not a cook or a qualified chef, however, this role requires management and leadership skills.</w:t>
            </w:r>
          </w:p>
          <w:p w:rsidR="00000000" w:rsidRPr="007613C9" w:rsidP="007613C9">
            <w:pPr>
              <w:pStyle w:val="BodyText"/>
            </w:pPr>
            <w:r w:rsidRPr="007613C9">
              <w:t>No licensing, legislative or certification requirements apply to this unit at the time of publication.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3" w:name="O_1268992"/>
      <w:bookmarkEnd w:id="3"/>
      <w:r w:rsidRPr="007613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>Not applicable.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4" w:name="O_1268993"/>
      <w:bookmarkEnd w:id="4"/>
      <w:r w:rsidRPr="007613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>X – Logistics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5" w:name="O_1268994"/>
      <w:bookmarkEnd w:id="5"/>
      <w:r w:rsidRPr="007613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>Not applicable.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6" w:name="O_1268995"/>
      <w:bookmarkEnd w:id="6"/>
      <w:r w:rsidRPr="007613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50"/>
        <w:gridCol w:w="3011"/>
        <w:gridCol w:w="1378"/>
        <w:gridCol w:w="4358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Elements describe the essential outcomes.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Performance criteria describe the performance needed to demonstrate achievement of the element.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1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Prepare for catering operations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1.1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Information is sourced and analysed to identify catering factors to be considered in supporting operations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1.2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Logistics information management systems and planning tools are utilised in scheduling and coordinating catering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1.3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Catering equipment mai</w:t>
            </w:r>
            <w:r w:rsidRPr="007613C9">
              <w:t>ntenance is scheduled within constraints of delivering catering support to operations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1.4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Catering facility establishment is monitored to promote a functional and technically efficient catering operation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1.5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Instructions are prepared and delivered to implement and coordinate catering operations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1.6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Technical advice is provided to management and stakeholders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1.7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 xml:space="preserve">Work health and safety (WHS)/occupational health and safety (OHS) requirements and recognised </w:t>
            </w:r>
            <w:r w:rsidRPr="007613C9">
              <w:t>safety precautions are applied throughout operation in accordance with standard procedures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2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Ensure compliance with food safety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2.1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Resources required to meet food safety requirements are accessed and made available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2.2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Observance of food safety programs is monitored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2.3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Corrective action in response to food safety non-compliance is taken in close consultation with senior catering personnel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2.4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Food recall or quarantine notices are acted on to ensure food safety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3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Manage food service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Catering team is supervised to ensure links between receipt and storage of food, food preparation and food service are actively maintained to meet food standards and catering support requirements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Menu is planned and prepared to ensure it complements the operational plan and provides nutritional balance to personnel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Staff rostering is monitored to ensure it accurately reflects catering support requirements and utilises staff efficiently and s</w:t>
            </w:r>
            <w:r w:rsidRPr="007613C9">
              <w:t>ustainably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Organisational policies and procedures relating to food service are implemented and monitored in delivering catering support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3.5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Consistent quality in service and food product is supervised to meet food standards and catering support requirements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3.6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Inventory management relating to provisioning, procurement, supply, receipt and storage of food and food service material is superv</w:t>
            </w:r>
            <w:r w:rsidRPr="007613C9">
              <w:t>ised to meet food standards and catering support requirements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3.7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Stakeholders are liaised with during ongoing monitoring of catering support requirements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3.8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Processes and procedures relating to food usage and resource accounting are monitored and recorded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4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rPr>
                <w:rStyle w:val="SpecialBold"/>
              </w:rPr>
              <w:t>Minimise waste and manage food and waste disposal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4.1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Opportunities to reduce waste are identified and acted on within catering facility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4.2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Cost contr</w:t>
            </w:r>
            <w:r w:rsidRPr="007613C9">
              <w:t>ol procedures are implemented to minimise waste within catering facility and to use catering resources efficiently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4.3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Development and implementation of waste management arrangements are monitored to ensure waste management supports good hygiene and environmental protection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4.4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t>Waste management processes and procedures are monitored to ensure compliance with hygiene and</w:t>
            </w:r>
            <w:r w:rsidRPr="007613C9">
              <w:t xml:space="preserve"> environmental standards</w:t>
            </w:r>
          </w:p>
        </w:tc>
      </w:tr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>
            <w:pPr>
              <w:pStyle w:val="BodyText"/>
              <w:keepLines w:val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C9">
            <w:pPr>
              <w:pStyle w:val="BodyText"/>
              <w:rPr>
                <w:lang w:val="en-NZ"/>
              </w:rPr>
            </w:pPr>
            <w:r w:rsidRPr="007613C9">
              <w:rPr>
                <w:rStyle w:val="SpecialBold"/>
              </w:rPr>
              <w:t>4.5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>Stakeholders responsible for removing waste and monitoring hygiene are liaised with to ensure compliance with hygiene and environmental standards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7" w:name="O_1268996"/>
      <w:bookmarkEnd w:id="7"/>
      <w:r w:rsidRPr="007613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>Foundation skills essential to performa</w:t>
            </w:r>
            <w:r w:rsidRPr="007613C9">
              <w:t>nce are explicit in the performance criteria of this unit of competency.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8" w:name="O_1268997"/>
      <w:bookmarkEnd w:id="8"/>
      <w:r w:rsidRPr="007613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>Range is restricted to essential operating conditions and any other variables essential to the work environment.</w:t>
            </w:r>
          </w:p>
          <w:p w:rsidR="00000000" w:rsidRPr="007613C9" w:rsidP="007613C9">
            <w:pPr>
              <w:pStyle w:val="BodyText"/>
            </w:pPr>
            <w:r w:rsidRPr="007613C9">
              <w:t>Non-essential conditions can be found in the Companion Volume Implementation Guide.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9" w:name="O_1268998"/>
      <w:bookmarkEnd w:id="9"/>
      <w:r w:rsidRPr="007613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C9" w:rsidP="007613C9">
            <w:pPr>
              <w:pStyle w:val="BodyText"/>
            </w:pPr>
            <w:r w:rsidRPr="007613C9">
              <w:t>This unit replaces and is equivalent to TLIX5045 Manage and monitor catering on deployed operations.</w:t>
            </w:r>
          </w:p>
        </w:tc>
      </w:tr>
    </w:tbl>
    <w:p w:rsidR="00000000" w:rsidRPr="007613C9" w:rsidP="007613C9">
      <w:pPr>
        <w:pStyle w:val="NoPaddingFontSize1"/>
      </w:pPr>
    </w:p>
    <w:p w:rsidR="00000000" w:rsidRPr="007613C9" w:rsidP="007613C9">
      <w:pPr>
        <w:pStyle w:val="AllowPageBreak"/>
      </w:pPr>
    </w:p>
    <w:p w:rsidR="00000000" w:rsidRPr="007613C9" w:rsidP="007613C9">
      <w:pPr>
        <w:pStyle w:val="Heading1"/>
      </w:pPr>
      <w:bookmarkStart w:id="10" w:name="O_1269010"/>
      <w:bookmarkEnd w:id="10"/>
      <w:r w:rsidRPr="007613C9">
        <w:t>Link</w:t>
      </w:r>
      <w:r w:rsidRPr="007613C9">
        <w:t>s</w:t>
      </w:r>
    </w:p>
    <w:p w:rsidR="00000000" w:rsidRPr="007613C9" w:rsidP="00FA7705">
      <w:pPr>
        <w:pStyle w:val="BodyText"/>
      </w:pPr>
      <w:r w:rsidRPr="00761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A15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613C9" w:rsidP="007613C9"/>
    <w:sectPr w:rsidSect="00761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C9" w:rsidRPr="00FA7705" w:rsidP="00FA7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05" w:rsidP="00761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705" w:rsidP="00761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7705" w:rsidP="00761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3C9" w:rsidRPr="00FA7705" w:rsidP="00FA7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05" w:rsidRPr="002D2AF8" w:rsidP="00761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TLIX0066 Manage and monitor catering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A7705" w:rsidP="00761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3C9"/>
  </w:style>
  <w:style w:type="character" w:customStyle="1" w:styleId="Heading1Char">
    <w:name w:val="Heading 1 Char"/>
    <w:basedOn w:val="DefaultParagraphFont"/>
    <w:link w:val="Heading1"/>
    <w:rsid w:val="00761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3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13C9"/>
    <w:rPr>
      <w:b/>
      <w:spacing w:val="0"/>
    </w:rPr>
  </w:style>
  <w:style w:type="paragraph" w:customStyle="1" w:styleId="SuperHeading">
    <w:name w:val="SuperHeading"/>
    <w:basedOn w:val="Normal"/>
    <w:rsid w:val="00761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1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3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3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1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3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3C9"/>
    <w:rPr>
      <w:i/>
    </w:rPr>
  </w:style>
  <w:style w:type="paragraph" w:styleId="Caption">
    <w:name w:val="caption"/>
    <w:basedOn w:val="BodyText"/>
    <w:next w:val="Normal"/>
    <w:qFormat/>
    <w:rsid w:val="00761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3C9"/>
  </w:style>
  <w:style w:type="paragraph" w:styleId="TableofFigures">
    <w:name w:val="table of figures"/>
    <w:basedOn w:val="Normal"/>
    <w:next w:val="Normal"/>
    <w:semiHidden/>
    <w:rsid w:val="00761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3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13C9"/>
    <w:rPr>
      <w:rFonts w:ascii="Wingdings" w:hAnsi="Wingdings"/>
    </w:rPr>
  </w:style>
  <w:style w:type="paragraph" w:customStyle="1" w:styleId="TableHeading">
    <w:name w:val="Table Heading"/>
    <w:basedOn w:val="HeadingBase"/>
    <w:rsid w:val="00761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3C9"/>
    <w:rPr>
      <w:color w:val="0033CC"/>
      <w:u w:val="none"/>
    </w:rPr>
  </w:style>
  <w:style w:type="paragraph" w:customStyle="1" w:styleId="BodyTextRight">
    <w:name w:val="Body Text Right"/>
    <w:basedOn w:val="BodyText"/>
    <w:rsid w:val="00761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3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3C9"/>
    <w:rPr>
      <w:sz w:val="32"/>
    </w:rPr>
  </w:style>
  <w:style w:type="paragraph" w:customStyle="1" w:styleId="HeadingProcedure">
    <w:name w:val="Heading Procedure"/>
    <w:basedOn w:val="HeadingBase"/>
    <w:next w:val="Normal"/>
    <w:rsid w:val="00761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3C9"/>
    <w:pPr>
      <w:spacing w:before="60" w:after="60"/>
    </w:pPr>
  </w:style>
  <w:style w:type="paragraph" w:styleId="ListContinue">
    <w:name w:val="List Continue"/>
    <w:basedOn w:val="List"/>
    <w:rsid w:val="007613C9"/>
    <w:pPr>
      <w:ind w:firstLine="0"/>
    </w:pPr>
  </w:style>
  <w:style w:type="paragraph" w:customStyle="1" w:styleId="ListNote">
    <w:name w:val="List Note"/>
    <w:basedOn w:val="List"/>
    <w:rsid w:val="00761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3C9"/>
    <w:rPr>
      <w:rFonts w:ascii="Courier New" w:hAnsi="Courier New"/>
    </w:rPr>
  </w:style>
  <w:style w:type="paragraph" w:customStyle="1" w:styleId="NoteBullet">
    <w:name w:val="Note Bullet"/>
    <w:basedOn w:val="Note"/>
    <w:rsid w:val="00761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3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1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3C9"/>
    <w:rPr>
      <w:b/>
      <w:smallCaps/>
    </w:rPr>
  </w:style>
  <w:style w:type="paragraph" w:customStyle="1" w:styleId="TableListNumber">
    <w:name w:val="Table List Number"/>
    <w:basedOn w:val="ListNumber"/>
    <w:rsid w:val="00761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3C9"/>
    <w:pPr>
      <w:numPr>
        <w:numId w:val="7"/>
      </w:numPr>
    </w:pPr>
  </w:style>
  <w:style w:type="paragraph" w:customStyle="1" w:styleId="ListAlpha2">
    <w:name w:val="List Alpha 2"/>
    <w:basedOn w:val="List2"/>
    <w:rsid w:val="007613C9"/>
    <w:pPr>
      <w:numPr>
        <w:numId w:val="6"/>
      </w:numPr>
    </w:pPr>
  </w:style>
  <w:style w:type="paragraph" w:styleId="List2">
    <w:name w:val="List 2"/>
    <w:basedOn w:val="BodyText"/>
    <w:rsid w:val="00761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3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3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13C9"/>
    <w:pPr>
      <w:numPr>
        <w:numId w:val="2"/>
      </w:numPr>
    </w:pPr>
  </w:style>
  <w:style w:type="paragraph" w:styleId="ListContinue2">
    <w:name w:val="List Continue 2"/>
    <w:basedOn w:val="List2"/>
    <w:rsid w:val="007613C9"/>
    <w:pPr>
      <w:ind w:firstLine="0"/>
    </w:pPr>
  </w:style>
  <w:style w:type="paragraph" w:styleId="ListContinue3">
    <w:name w:val="List Continue 3"/>
    <w:basedOn w:val="List3"/>
    <w:rsid w:val="007613C9"/>
    <w:pPr>
      <w:ind w:left="1021" w:firstLine="0"/>
    </w:pPr>
  </w:style>
  <w:style w:type="paragraph" w:styleId="ListContinue4">
    <w:name w:val="List Continue 4"/>
    <w:basedOn w:val="List4"/>
    <w:rsid w:val="007613C9"/>
    <w:pPr>
      <w:ind w:firstLine="0"/>
    </w:pPr>
  </w:style>
  <w:style w:type="paragraph" w:styleId="ListContinue5">
    <w:name w:val="List Continue 5"/>
    <w:basedOn w:val="List5"/>
    <w:rsid w:val="007613C9"/>
    <w:pPr>
      <w:ind w:firstLine="0"/>
    </w:pPr>
  </w:style>
  <w:style w:type="paragraph" w:styleId="ListNumber3">
    <w:name w:val="List Number 3"/>
    <w:basedOn w:val="List3"/>
    <w:rsid w:val="007613C9"/>
    <w:pPr>
      <w:numPr>
        <w:numId w:val="3"/>
      </w:numPr>
    </w:pPr>
  </w:style>
  <w:style w:type="paragraph" w:styleId="ListNumber4">
    <w:name w:val="List Number 4"/>
    <w:basedOn w:val="List4"/>
    <w:rsid w:val="007613C9"/>
    <w:pPr>
      <w:numPr>
        <w:numId w:val="4"/>
      </w:numPr>
    </w:pPr>
  </w:style>
  <w:style w:type="paragraph" w:styleId="ListNumber5">
    <w:name w:val="List Number 5"/>
    <w:basedOn w:val="List5"/>
    <w:rsid w:val="007613C9"/>
    <w:pPr>
      <w:numPr>
        <w:numId w:val="5"/>
      </w:numPr>
    </w:pPr>
  </w:style>
  <w:style w:type="paragraph" w:styleId="BlockText">
    <w:name w:val="Block Text"/>
    <w:basedOn w:val="Normal"/>
    <w:rsid w:val="00761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3C9"/>
    <w:rPr>
      <w:sz w:val="16"/>
      <w:vertAlign w:val="superscript"/>
    </w:rPr>
  </w:style>
  <w:style w:type="character" w:customStyle="1" w:styleId="Symbols">
    <w:name w:val="Symbols"/>
    <w:basedOn w:val="DefaultParagraphFont"/>
    <w:rsid w:val="007613C9"/>
    <w:rPr>
      <w:rFonts w:ascii="Symbol" w:hAnsi="Symbol"/>
    </w:rPr>
  </w:style>
  <w:style w:type="character" w:customStyle="1" w:styleId="MenuOptions">
    <w:name w:val="Menu Options"/>
    <w:basedOn w:val="DefaultParagraphFont"/>
    <w:rsid w:val="00761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3C9"/>
    <w:rPr>
      <w:b/>
    </w:rPr>
  </w:style>
  <w:style w:type="character" w:customStyle="1" w:styleId="Underlined">
    <w:name w:val="Underlined"/>
    <w:basedOn w:val="DefaultParagraphFont"/>
    <w:rsid w:val="007613C9"/>
    <w:rPr>
      <w:u w:val="single"/>
    </w:rPr>
  </w:style>
  <w:style w:type="paragraph" w:customStyle="1" w:styleId="TableBodyTextRight">
    <w:name w:val="Table Body Text Right"/>
    <w:basedOn w:val="TableBodyText"/>
    <w:rsid w:val="00761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3C9"/>
    <w:rPr>
      <w:sz w:val="18"/>
    </w:rPr>
  </w:style>
  <w:style w:type="paragraph" w:customStyle="1" w:styleId="BodySmallRight">
    <w:name w:val="Body Small Right"/>
    <w:basedOn w:val="BodyTextRight"/>
    <w:rsid w:val="007613C9"/>
    <w:rPr>
      <w:sz w:val="18"/>
      <w:szCs w:val="18"/>
    </w:rPr>
  </w:style>
  <w:style w:type="paragraph" w:customStyle="1" w:styleId="MarginEdition">
    <w:name w:val="Margin Edition"/>
    <w:basedOn w:val="MarginNote"/>
    <w:rsid w:val="00761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3C9"/>
    <w:rPr>
      <w:sz w:val="2"/>
      <w:szCs w:val="2"/>
    </w:rPr>
  </w:style>
  <w:style w:type="character" w:customStyle="1" w:styleId="Small">
    <w:name w:val="Small"/>
    <w:basedOn w:val="DefaultParagraphFont"/>
    <w:rsid w:val="007613C9"/>
    <w:rPr>
      <w:sz w:val="16"/>
    </w:rPr>
  </w:style>
  <w:style w:type="paragraph" w:customStyle="1" w:styleId="WideTable">
    <w:name w:val="Wide Table"/>
    <w:basedOn w:val="Normal"/>
    <w:rsid w:val="00761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3C9"/>
  </w:style>
  <w:style w:type="paragraph" w:styleId="Quote">
    <w:name w:val="Quote"/>
    <w:basedOn w:val="Heading1"/>
    <w:link w:val="QuoteChar"/>
    <w:qFormat/>
    <w:rsid w:val="00761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3C9"/>
    <w:pPr>
      <w:pageBreakBefore/>
    </w:pPr>
  </w:style>
  <w:style w:type="paragraph" w:customStyle="1" w:styleId="Border">
    <w:name w:val="Border"/>
    <w:basedOn w:val="Normal"/>
    <w:qFormat/>
    <w:rsid w:val="00761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3C9"/>
    <w:rPr>
      <w:u w:val="single"/>
    </w:rPr>
  </w:style>
  <w:style w:type="character" w:customStyle="1" w:styleId="BoldandItalics">
    <w:name w:val="Bold and Italics"/>
    <w:qFormat/>
    <w:rsid w:val="007613C9"/>
    <w:rPr>
      <w:b/>
      <w:i/>
      <w:u w:val="none"/>
    </w:rPr>
  </w:style>
  <w:style w:type="paragraph" w:styleId="BalloonText">
    <w:name w:val="Balloon Text"/>
    <w:basedOn w:val="Normal"/>
    <w:link w:val="BalloonTextChar"/>
    <w:rsid w:val="00761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3C9"/>
    <w:pPr>
      <w:spacing w:before="0" w:after="0"/>
    </w:pPr>
  </w:style>
  <w:style w:type="paragraph" w:customStyle="1" w:styleId="BodyTextBold">
    <w:name w:val="Body Text Bold"/>
    <w:basedOn w:val="BodyText"/>
    <w:qFormat/>
    <w:rsid w:val="007613C9"/>
    <w:rPr>
      <w:b/>
    </w:rPr>
  </w:style>
  <w:style w:type="character" w:styleId="Hyperlink">
    <w:name w:val="Hyperlink"/>
    <w:basedOn w:val="DefaultParagraphFont"/>
    <w:uiPriority w:val="99"/>
    <w:unhideWhenUsed/>
    <w:rsid w:val="00FA7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4448</Characters>
  <Application>Microsoft Office Word</Application>
  <DocSecurity>0</DocSecurity>
  <Lines>234</Lines>
  <Paragraphs>103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TLIX0066 Manage and monitor catering on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