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04F" w:rsidP="001230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TLIX0065 Maintain technical data and information</w:t>
      </w:r>
      <w:r>
        <w:fldChar w:fldCharType="end"/>
      </w:r>
    </w:p>
    <w:p w:rsidR="0012304F" w:rsidP="0012304F">
      <w:pPr>
        <w:pStyle w:val="Version"/>
        <w:sectPr w:rsidSect="00F269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69D4" w:rsidP="00F269D4">
      <w:pPr>
        <w:pStyle w:val="SuperHeading"/>
      </w:pPr>
      <w:r w:rsidRPr="00F269D4">
        <w:t>TLIX0065 Maintain technical data and information</w:t>
      </w:r>
    </w:p>
    <w:p w:rsidR="00000000" w:rsidRPr="00F269D4" w:rsidP="00F269D4">
      <w:pPr>
        <w:pStyle w:val="Heading1"/>
      </w:pPr>
      <w:bookmarkStart w:id="1" w:name="O_1268971"/>
      <w:bookmarkEnd w:id="1"/>
      <w:r w:rsidRPr="00F269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9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 w:rsidP="00F269D4">
            <w:pPr>
              <w:pStyle w:val="BodyText"/>
            </w:pPr>
            <w:r w:rsidRPr="00F269D4">
              <w:rPr>
                <w:rStyle w:val="SpecialBold"/>
              </w:rPr>
              <w:t>Release 1.</w:t>
            </w:r>
            <w:r w:rsidRPr="00F269D4">
              <w:t xml:space="preserve"> This is the first release of this unit of competency in the TLI Transport and Logistics Training Package.</w:t>
            </w:r>
          </w:p>
        </w:tc>
      </w:tr>
    </w:tbl>
    <w:p w:rsidR="00000000" w:rsidRPr="00F269D4" w:rsidP="00F269D4">
      <w:pPr>
        <w:pStyle w:val="NoPaddingFontSize1"/>
      </w:pPr>
    </w:p>
    <w:p w:rsidR="00000000" w:rsidRPr="00F269D4" w:rsidP="00F269D4">
      <w:pPr>
        <w:pStyle w:val="AllowPageBreak"/>
      </w:pPr>
    </w:p>
    <w:p w:rsidR="00000000" w:rsidRPr="00F269D4" w:rsidP="00F269D4">
      <w:pPr>
        <w:pStyle w:val="Heading1"/>
      </w:pPr>
      <w:bookmarkStart w:id="2" w:name="O_1268972"/>
      <w:bookmarkEnd w:id="2"/>
      <w:r w:rsidRPr="00F269D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9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 w:rsidP="00F269D4">
            <w:pPr>
              <w:pStyle w:val="BodyText"/>
            </w:pPr>
            <w:r w:rsidRPr="00F269D4">
              <w:t>This unit involves the skills and knowledge required to maintain technical d</w:t>
            </w:r>
            <w:r w:rsidRPr="00F269D4">
              <w:t xml:space="preserve">ata and information. </w:t>
            </w:r>
          </w:p>
          <w:p w:rsidR="00000000" w:rsidRPr="00F269D4" w:rsidP="00F269D4">
            <w:pPr>
              <w:pStyle w:val="BodyText"/>
            </w:pPr>
            <w:r w:rsidRPr="00F269D4">
              <w:t>It includes collating and updating technical data and information systems and preparing reports from organisation’s technical data management systems in good order on a day-to-day basis in accordance with relevant organisational polic</w:t>
            </w:r>
            <w:r w:rsidRPr="00F269D4">
              <w:t xml:space="preserve">y and procedures. </w:t>
            </w:r>
          </w:p>
          <w:p w:rsidR="00000000" w:rsidRPr="00F269D4" w:rsidP="00F269D4">
            <w:pPr>
              <w:pStyle w:val="BodyText"/>
            </w:pPr>
            <w:r w:rsidRPr="00F269D4">
              <w:t>This unit was developed for individuals involved in design, development and maintenance of technical data but is applicable to individuals in broader logistics roles.</w:t>
            </w:r>
          </w:p>
          <w:p w:rsidR="00000000" w:rsidRPr="00F269D4" w:rsidP="00F269D4">
            <w:pPr>
              <w:pStyle w:val="BodyText"/>
            </w:pPr>
            <w:r w:rsidRPr="00F269D4">
              <w:t>Individuals work independently or as part of a team under direct or in</w:t>
            </w:r>
            <w:r w:rsidRPr="00F269D4">
              <w:t>direct supervision, use discretion and judgement, and take responsibility for the quality of their outputs. All activities are carried out in accordance with relevant organisational policy and procedures.</w:t>
            </w:r>
          </w:p>
          <w:p w:rsidR="00000000" w:rsidRPr="00F269D4" w:rsidP="00F269D4">
            <w:pPr>
              <w:pStyle w:val="BodyText"/>
            </w:pPr>
            <w:r w:rsidRPr="00F269D4">
              <w:t>No licensing, legislative or certification requirem</w:t>
            </w:r>
            <w:r w:rsidRPr="00F269D4">
              <w:t>ents apply to this unit at the time of publication.</w:t>
            </w:r>
          </w:p>
        </w:tc>
      </w:tr>
    </w:tbl>
    <w:p w:rsidR="00000000" w:rsidRPr="00F269D4" w:rsidP="00F269D4">
      <w:pPr>
        <w:pStyle w:val="NoPaddingFontSize1"/>
      </w:pPr>
    </w:p>
    <w:p w:rsidR="00000000" w:rsidRPr="00F269D4" w:rsidP="00F269D4">
      <w:pPr>
        <w:pStyle w:val="AllowPageBreak"/>
      </w:pPr>
    </w:p>
    <w:p w:rsidR="00000000" w:rsidRPr="00F269D4" w:rsidP="00F269D4">
      <w:pPr>
        <w:pStyle w:val="Heading1"/>
      </w:pPr>
      <w:bookmarkStart w:id="3" w:name="O_1268973"/>
      <w:bookmarkEnd w:id="3"/>
      <w:r w:rsidRPr="00F269D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9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 w:rsidP="00F269D4">
            <w:pPr>
              <w:pStyle w:val="BodyText"/>
            </w:pPr>
            <w:r w:rsidRPr="00F269D4">
              <w:t>Not applicable.</w:t>
            </w:r>
          </w:p>
        </w:tc>
      </w:tr>
    </w:tbl>
    <w:p w:rsidR="00000000" w:rsidRPr="00F269D4" w:rsidP="00F269D4">
      <w:pPr>
        <w:pStyle w:val="NoPaddingFontSize1"/>
      </w:pPr>
    </w:p>
    <w:p w:rsidR="00000000" w:rsidRPr="00F269D4" w:rsidP="00F269D4">
      <w:pPr>
        <w:pStyle w:val="AllowPageBreak"/>
      </w:pPr>
    </w:p>
    <w:p w:rsidR="00000000" w:rsidRPr="00F269D4" w:rsidP="00F269D4">
      <w:pPr>
        <w:pStyle w:val="Heading1"/>
      </w:pPr>
      <w:bookmarkStart w:id="4" w:name="O_1268974"/>
      <w:bookmarkEnd w:id="4"/>
      <w:r w:rsidRPr="00F269D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9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 w:rsidP="00F269D4">
            <w:pPr>
              <w:pStyle w:val="BodyText"/>
            </w:pPr>
            <w:r w:rsidRPr="00F269D4">
              <w:t>X – Logistics</w:t>
            </w:r>
          </w:p>
        </w:tc>
      </w:tr>
    </w:tbl>
    <w:p w:rsidR="00000000" w:rsidRPr="00F269D4" w:rsidP="00F269D4">
      <w:pPr>
        <w:pStyle w:val="NoPaddingFontSize1"/>
      </w:pPr>
    </w:p>
    <w:p w:rsidR="00000000" w:rsidRPr="00F269D4" w:rsidP="00F269D4">
      <w:pPr>
        <w:pStyle w:val="AllowPageBreak"/>
      </w:pPr>
    </w:p>
    <w:p w:rsidR="00000000" w:rsidRPr="00F269D4" w:rsidP="00F269D4">
      <w:pPr>
        <w:pStyle w:val="Heading1"/>
      </w:pPr>
      <w:bookmarkStart w:id="5" w:name="O_1268975"/>
      <w:bookmarkEnd w:id="5"/>
      <w:r w:rsidRPr="00F269D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9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 w:rsidP="00F269D4">
            <w:pPr>
              <w:pStyle w:val="BodyText"/>
            </w:pPr>
            <w:r w:rsidRPr="00F269D4">
              <w:t>Not applicable.</w:t>
            </w:r>
          </w:p>
        </w:tc>
      </w:tr>
    </w:tbl>
    <w:p w:rsidR="00000000" w:rsidRPr="00F269D4" w:rsidP="00F269D4">
      <w:pPr>
        <w:pStyle w:val="NoPaddingFontSize1"/>
      </w:pPr>
    </w:p>
    <w:p w:rsidR="00000000" w:rsidRPr="00F269D4" w:rsidP="00F269D4">
      <w:pPr>
        <w:pStyle w:val="AllowPageBreak"/>
      </w:pPr>
    </w:p>
    <w:p w:rsidR="00000000" w:rsidRPr="00F269D4" w:rsidP="00F269D4">
      <w:pPr>
        <w:pStyle w:val="Heading1"/>
      </w:pPr>
      <w:bookmarkStart w:id="6" w:name="O_1268976"/>
      <w:bookmarkEnd w:id="6"/>
      <w:r w:rsidRPr="00F269D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5"/>
        <w:gridCol w:w="3347"/>
        <w:gridCol w:w="1343"/>
        <w:gridCol w:w="4122"/>
      </w:tblGrid>
      <w:tr w:rsidTr="00F269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t>Elements describe the essential outcomes.</w:t>
            </w:r>
          </w:p>
        </w:tc>
        <w:tc>
          <w:tcPr>
            <w:tcW w:w="5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t>Performance criteria describe the performance needed to demonstrate achievement of the element.</w:t>
            </w:r>
          </w:p>
        </w:tc>
      </w:tr>
      <w:tr w:rsidTr="00F269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 w:rsidP="00F269D4">
            <w:pPr>
              <w:pStyle w:val="BodyText"/>
            </w:pPr>
            <w:r w:rsidRPr="00F269D4">
              <w:rPr>
                <w:rStyle w:val="SpecialBold"/>
              </w:rPr>
              <w:t>1</w:t>
            </w:r>
          </w:p>
        </w:tc>
        <w:tc>
          <w:tcPr>
            <w:tcW w:w="334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 w:rsidP="00F269D4">
            <w:pPr>
              <w:pStyle w:val="BodyText"/>
            </w:pPr>
            <w:r w:rsidRPr="00F269D4">
              <w:rPr>
                <w:rStyle w:val="SpecialBold"/>
              </w:rPr>
              <w:t>Collate technical data and information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rPr>
                <w:rStyle w:val="SpecialBold"/>
              </w:rPr>
              <w:t>1.1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t xml:space="preserve">Technical data and information to be incorporated into organisation’s records system is identified in accordance with data and technical information </w:t>
            </w:r>
            <w:r w:rsidRPr="00F269D4">
              <w:t>management system requirements</w:t>
            </w:r>
          </w:p>
        </w:tc>
      </w:tr>
      <w:tr w:rsidTr="00F269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>
            <w:pPr>
              <w:pStyle w:val="BodyText"/>
              <w:keepLines w:val="0"/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rPr>
                <w:rStyle w:val="SpecialBold"/>
              </w:rPr>
              <w:t>1.2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t>Technical data and information to be incorporated into organisation’s</w:t>
            </w:r>
            <w:r w:rsidRPr="00F269D4">
              <w:t xml:space="preserve"> information management systems is recorded in accordance with data and technical information management system requirements</w:t>
            </w:r>
          </w:p>
        </w:tc>
      </w:tr>
      <w:tr w:rsidTr="00F269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>
            <w:pPr>
              <w:pStyle w:val="BodyText"/>
              <w:keepLines w:val="0"/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rPr>
                <w:rStyle w:val="SpecialBold"/>
              </w:rPr>
              <w:t>1.3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t>Technical data and information is sorted and catalogued in accordance with workplace requirements</w:t>
            </w:r>
          </w:p>
        </w:tc>
      </w:tr>
      <w:tr w:rsidTr="00F269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>
            <w:pPr>
              <w:pStyle w:val="BodyText"/>
              <w:keepLines w:val="0"/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rPr>
                <w:rStyle w:val="SpecialBold"/>
              </w:rPr>
              <w:t>1.4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t>Security and access requirements for technical data and information are adhered to in accordance with management system</w:t>
            </w:r>
          </w:p>
        </w:tc>
      </w:tr>
      <w:tr w:rsidTr="00F269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 w:rsidP="00F269D4">
            <w:pPr>
              <w:pStyle w:val="BodyText"/>
            </w:pPr>
            <w:r w:rsidRPr="00F269D4">
              <w:rPr>
                <w:rStyle w:val="SpecialBold"/>
              </w:rPr>
              <w:t>2</w:t>
            </w:r>
          </w:p>
        </w:tc>
        <w:tc>
          <w:tcPr>
            <w:tcW w:w="334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 w:rsidP="00F269D4">
            <w:pPr>
              <w:pStyle w:val="BodyText"/>
            </w:pPr>
            <w:r w:rsidRPr="00F269D4">
              <w:rPr>
                <w:rStyle w:val="SpecialBold"/>
              </w:rPr>
              <w:t>Update technical data and information system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rPr>
                <w:rStyle w:val="SpecialBold"/>
              </w:rPr>
              <w:t>2.1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t>Technical data and information of direct interest to business unit is monitored</w:t>
            </w:r>
          </w:p>
        </w:tc>
      </w:tr>
      <w:tr w:rsidTr="00F269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>
            <w:pPr>
              <w:pStyle w:val="BodyText"/>
              <w:keepLines w:val="0"/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rPr>
                <w:rStyle w:val="SpecialBold"/>
              </w:rPr>
              <w:t>2</w:t>
            </w:r>
            <w:r w:rsidRPr="00F269D4">
              <w:rPr>
                <w:rStyle w:val="SpecialBold"/>
              </w:rPr>
              <w:t>.2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t>New or revised technical data and information is identified, implemented, and incorporated in accordance with authorised systems</w:t>
            </w:r>
          </w:p>
        </w:tc>
      </w:tr>
      <w:tr w:rsidTr="00F269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>
            <w:pPr>
              <w:pStyle w:val="BodyText"/>
              <w:keepLines w:val="0"/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rPr>
                <w:rStyle w:val="SpecialBold"/>
              </w:rPr>
              <w:t>2.3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t>Movement and use of technical data and information is updated in accordance with authorised systems</w:t>
            </w:r>
          </w:p>
        </w:tc>
      </w:tr>
      <w:tr w:rsidTr="00F269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>
            <w:pPr>
              <w:pStyle w:val="BodyText"/>
              <w:keepLines w:val="0"/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rPr>
                <w:rStyle w:val="SpecialBold"/>
              </w:rPr>
              <w:t>2.4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t>Technical data and information systems are updated accurately within timeframes set by systems</w:t>
            </w:r>
          </w:p>
        </w:tc>
      </w:tr>
      <w:tr w:rsidTr="00F269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>
            <w:pPr>
              <w:pStyle w:val="BodyText"/>
              <w:keepLines w:val="0"/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rPr>
                <w:rStyle w:val="SpecialBold"/>
              </w:rPr>
              <w:t>2.5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t>Technical data and information is archived or disposed of in accordance legislative and contractual requirements and security caveats</w:t>
            </w:r>
          </w:p>
        </w:tc>
      </w:tr>
      <w:tr w:rsidTr="00F269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 w:rsidP="00F269D4">
            <w:pPr>
              <w:pStyle w:val="BodyText"/>
            </w:pPr>
            <w:r w:rsidRPr="00F269D4">
              <w:rPr>
                <w:rStyle w:val="SpecialBold"/>
              </w:rPr>
              <w:t>3</w:t>
            </w:r>
          </w:p>
        </w:tc>
        <w:tc>
          <w:tcPr>
            <w:tcW w:w="334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 w:rsidP="00F269D4">
            <w:pPr>
              <w:pStyle w:val="BodyText"/>
            </w:pPr>
            <w:r w:rsidRPr="00F269D4">
              <w:rPr>
                <w:rStyle w:val="SpecialBold"/>
              </w:rPr>
              <w:t>Prepare reports f</w:t>
            </w:r>
            <w:r w:rsidRPr="00F269D4">
              <w:rPr>
                <w:rStyle w:val="SpecialBold"/>
              </w:rPr>
              <w:t>rom organisation’s technical data management system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rPr>
                <w:rStyle w:val="SpecialBold"/>
              </w:rPr>
              <w:t>3.1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t>Request for reports is interpreted and clarification of content and frequency is sought as required</w:t>
            </w:r>
          </w:p>
        </w:tc>
      </w:tr>
      <w:tr w:rsidTr="00F269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>
            <w:pPr>
              <w:pStyle w:val="BodyText"/>
              <w:keepLines w:val="0"/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rPr>
                <w:rStyle w:val="SpecialBold"/>
              </w:rPr>
              <w:t>3.2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t>Reports are prepared from organisation’</w:t>
            </w:r>
            <w:r w:rsidRPr="00F269D4">
              <w:t>s technical data management system in accordance with instructions or request</w:t>
            </w:r>
          </w:p>
        </w:tc>
      </w:tr>
      <w:tr w:rsidTr="00F269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>
            <w:pPr>
              <w:pStyle w:val="BodyText"/>
              <w:keepLines w:val="0"/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rPr>
                <w:rStyle w:val="SpecialBold"/>
              </w:rPr>
              <w:t>3.3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t xml:space="preserve">Format and style of reports as outlined in organisational procedures are complied </w:t>
            </w:r>
            <w:r w:rsidRPr="00F269D4">
              <w:t>with</w:t>
            </w:r>
          </w:p>
        </w:tc>
      </w:tr>
      <w:tr w:rsidTr="00F269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>
            <w:pPr>
              <w:pStyle w:val="BodyText"/>
              <w:keepLines w:val="0"/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D4">
            <w:pPr>
              <w:pStyle w:val="BodyText"/>
              <w:rPr>
                <w:lang w:val="en-NZ"/>
              </w:rPr>
            </w:pPr>
            <w:r w:rsidRPr="00F269D4">
              <w:rPr>
                <w:rStyle w:val="SpecialBold"/>
              </w:rPr>
              <w:t>3.4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 w:rsidP="00F269D4">
            <w:pPr>
              <w:pStyle w:val="BodyText"/>
            </w:pPr>
            <w:r w:rsidRPr="00F269D4">
              <w:t>All reports from organisation’s technical data management system are prepared</w:t>
            </w:r>
            <w:r w:rsidRPr="00F269D4">
              <w:t xml:space="preserve"> within workplace requirements in accordance with security and access procedures</w:t>
            </w:r>
          </w:p>
        </w:tc>
      </w:tr>
    </w:tbl>
    <w:p w:rsidR="00000000" w:rsidRPr="00F269D4" w:rsidP="00F269D4">
      <w:pPr>
        <w:pStyle w:val="NoPaddingFontSize1"/>
      </w:pPr>
    </w:p>
    <w:p w:rsidR="00000000" w:rsidRPr="00F269D4" w:rsidP="00F269D4">
      <w:pPr>
        <w:pStyle w:val="AllowPageBreak"/>
      </w:pPr>
    </w:p>
    <w:p w:rsidR="00000000" w:rsidRPr="00F269D4" w:rsidP="00F269D4">
      <w:pPr>
        <w:pStyle w:val="Heading1"/>
      </w:pPr>
      <w:bookmarkStart w:id="7" w:name="O_1268977"/>
      <w:bookmarkEnd w:id="7"/>
      <w:r w:rsidRPr="00F269D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9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 w:rsidP="00F269D4">
            <w:pPr>
              <w:pStyle w:val="BodyText"/>
            </w:pPr>
            <w:r w:rsidRPr="00F269D4">
              <w:t>Foundation skills essential to performance are explicit in the performance criteria of this unit of competency.</w:t>
            </w:r>
          </w:p>
        </w:tc>
      </w:tr>
    </w:tbl>
    <w:p w:rsidR="00000000" w:rsidRPr="00F269D4" w:rsidP="00F269D4">
      <w:pPr>
        <w:pStyle w:val="NoPaddingFontSize1"/>
      </w:pPr>
    </w:p>
    <w:p w:rsidR="00000000" w:rsidRPr="00F269D4" w:rsidP="00F269D4">
      <w:pPr>
        <w:pStyle w:val="AllowPageBreak"/>
      </w:pPr>
    </w:p>
    <w:p w:rsidR="00000000" w:rsidRPr="00F269D4" w:rsidP="00F269D4">
      <w:pPr>
        <w:pStyle w:val="Heading1"/>
      </w:pPr>
      <w:bookmarkStart w:id="8" w:name="O_1268978"/>
      <w:bookmarkEnd w:id="8"/>
      <w:r w:rsidRPr="00F269D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9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 w:rsidP="00F269D4">
            <w:pPr>
              <w:pStyle w:val="BodyText"/>
            </w:pPr>
            <w:r w:rsidRPr="00F269D4">
              <w:t>Range is restricted to essential operating conditions and any other variables essential to the work environment.</w:t>
            </w:r>
          </w:p>
          <w:p w:rsidR="00000000" w:rsidRPr="00F269D4" w:rsidP="00F269D4">
            <w:pPr>
              <w:pStyle w:val="BodyText"/>
            </w:pPr>
            <w:r w:rsidRPr="00F269D4">
              <w:t>Non-essential conditions can be found in the Companion Volume Implementation Guide.</w:t>
            </w:r>
          </w:p>
        </w:tc>
      </w:tr>
    </w:tbl>
    <w:p w:rsidR="00000000" w:rsidRPr="00F269D4" w:rsidP="00F269D4">
      <w:pPr>
        <w:pStyle w:val="NoPaddingFontSize1"/>
      </w:pPr>
    </w:p>
    <w:p w:rsidR="00000000" w:rsidRPr="00F269D4" w:rsidP="00F269D4">
      <w:pPr>
        <w:pStyle w:val="AllowPageBreak"/>
      </w:pPr>
    </w:p>
    <w:p w:rsidR="00000000" w:rsidRPr="00F269D4" w:rsidP="00F269D4">
      <w:pPr>
        <w:pStyle w:val="Heading1"/>
      </w:pPr>
      <w:bookmarkStart w:id="9" w:name="O_1268979"/>
      <w:bookmarkEnd w:id="9"/>
      <w:r w:rsidRPr="00F269D4">
        <w:t>Unit Mapping Infor</w:t>
      </w:r>
      <w:r w:rsidRPr="00F269D4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9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D4" w:rsidP="00F269D4">
            <w:pPr>
              <w:pStyle w:val="BodyText"/>
            </w:pPr>
            <w:r w:rsidRPr="00F269D4">
              <w:t>This unit replaces and is equivalent to TLIX4035 Maintain technical data and information.</w:t>
            </w:r>
          </w:p>
        </w:tc>
      </w:tr>
    </w:tbl>
    <w:p w:rsidR="00000000" w:rsidRPr="00F269D4" w:rsidP="00F269D4">
      <w:pPr>
        <w:pStyle w:val="NoPaddingFontSize1"/>
      </w:pPr>
    </w:p>
    <w:p w:rsidR="00000000" w:rsidRPr="00F269D4" w:rsidP="00F269D4">
      <w:pPr>
        <w:pStyle w:val="AllowPageBreak"/>
      </w:pPr>
    </w:p>
    <w:p w:rsidR="00000000" w:rsidRPr="00F269D4" w:rsidP="00F269D4">
      <w:pPr>
        <w:pStyle w:val="Heading1"/>
      </w:pPr>
      <w:bookmarkStart w:id="10" w:name="O_1268986"/>
      <w:bookmarkEnd w:id="10"/>
      <w:r w:rsidRPr="00F269D4">
        <w:t>Links</w:t>
      </w:r>
    </w:p>
    <w:p w:rsidR="00000000" w:rsidRPr="00F269D4" w:rsidP="0012304F">
      <w:pPr>
        <w:pStyle w:val="BodyText"/>
      </w:pPr>
      <w:r w:rsidRPr="00F269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1068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269D4" w:rsidP="00F269D4"/>
    <w:sectPr w:rsidSect="00F269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D4" w:rsidRPr="0012304F" w:rsidP="001230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04F" w:rsidP="00F269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304F" w:rsidP="00F269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2304F" w:rsidP="00F269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0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69D4" w:rsidRPr="0012304F" w:rsidP="001230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04F" w:rsidRPr="002D2AF8" w:rsidP="00F269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TLIX0065 Maintain technical data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2304F" w:rsidP="00F269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9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69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69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69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69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69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69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69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69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69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69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9D4"/>
  </w:style>
  <w:style w:type="character" w:customStyle="1" w:styleId="Heading1Char">
    <w:name w:val="Heading 1 Char"/>
    <w:basedOn w:val="DefaultParagraphFont"/>
    <w:link w:val="Heading1"/>
    <w:rsid w:val="00F269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69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69D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269D4"/>
    <w:rPr>
      <w:b/>
      <w:spacing w:val="0"/>
    </w:rPr>
  </w:style>
  <w:style w:type="paragraph" w:customStyle="1" w:styleId="SuperHeading">
    <w:name w:val="SuperHeading"/>
    <w:basedOn w:val="Normal"/>
    <w:rsid w:val="00F269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69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69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69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69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69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69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69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69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69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69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69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69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69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69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69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69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69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69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69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69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69D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269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69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69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69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69D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69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69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69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69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69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69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69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69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69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69D4"/>
    <w:rPr>
      <w:i/>
    </w:rPr>
  </w:style>
  <w:style w:type="paragraph" w:styleId="Caption">
    <w:name w:val="caption"/>
    <w:basedOn w:val="BodyText"/>
    <w:next w:val="Normal"/>
    <w:qFormat/>
    <w:rsid w:val="00F269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69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69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69D4"/>
  </w:style>
  <w:style w:type="paragraph" w:styleId="TableofFigures">
    <w:name w:val="table of figures"/>
    <w:basedOn w:val="Normal"/>
    <w:next w:val="Normal"/>
    <w:semiHidden/>
    <w:rsid w:val="00F269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69D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269D4"/>
    <w:rPr>
      <w:rFonts w:ascii="Wingdings" w:hAnsi="Wingdings"/>
    </w:rPr>
  </w:style>
  <w:style w:type="paragraph" w:customStyle="1" w:styleId="TableHeading">
    <w:name w:val="Table Heading"/>
    <w:basedOn w:val="HeadingBase"/>
    <w:rsid w:val="00F269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69D4"/>
    <w:rPr>
      <w:color w:val="0033CC"/>
      <w:u w:val="none"/>
    </w:rPr>
  </w:style>
  <w:style w:type="paragraph" w:customStyle="1" w:styleId="BodyTextRight">
    <w:name w:val="Body Text Right"/>
    <w:basedOn w:val="BodyText"/>
    <w:rsid w:val="00F269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69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69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69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69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69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69D4"/>
    <w:rPr>
      <w:sz w:val="32"/>
    </w:rPr>
  </w:style>
  <w:style w:type="paragraph" w:customStyle="1" w:styleId="HeadingProcedure">
    <w:name w:val="Heading Procedure"/>
    <w:basedOn w:val="HeadingBase"/>
    <w:next w:val="Normal"/>
    <w:rsid w:val="00F269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69D4"/>
    <w:pPr>
      <w:spacing w:before="60" w:after="60"/>
    </w:pPr>
  </w:style>
  <w:style w:type="paragraph" w:styleId="ListContinue">
    <w:name w:val="List Continue"/>
    <w:basedOn w:val="List"/>
    <w:rsid w:val="00F269D4"/>
    <w:pPr>
      <w:ind w:firstLine="0"/>
    </w:pPr>
  </w:style>
  <w:style w:type="paragraph" w:customStyle="1" w:styleId="ListNote">
    <w:name w:val="List Note"/>
    <w:basedOn w:val="List"/>
    <w:rsid w:val="00F269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69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69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69D4"/>
    <w:rPr>
      <w:rFonts w:ascii="Courier New" w:hAnsi="Courier New"/>
    </w:rPr>
  </w:style>
  <w:style w:type="paragraph" w:customStyle="1" w:styleId="NoteBullet">
    <w:name w:val="Note Bullet"/>
    <w:basedOn w:val="Note"/>
    <w:rsid w:val="00F269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69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69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69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69D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269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69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69D4"/>
    <w:rPr>
      <w:b/>
      <w:smallCaps/>
    </w:rPr>
  </w:style>
  <w:style w:type="paragraph" w:customStyle="1" w:styleId="TableListNumber">
    <w:name w:val="Table List Number"/>
    <w:basedOn w:val="ListNumber"/>
    <w:rsid w:val="00F269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69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69D4"/>
    <w:pPr>
      <w:numPr>
        <w:numId w:val="7"/>
      </w:numPr>
    </w:pPr>
  </w:style>
  <w:style w:type="paragraph" w:customStyle="1" w:styleId="ListAlpha2">
    <w:name w:val="List Alpha 2"/>
    <w:basedOn w:val="List2"/>
    <w:rsid w:val="00F269D4"/>
    <w:pPr>
      <w:numPr>
        <w:numId w:val="6"/>
      </w:numPr>
    </w:pPr>
  </w:style>
  <w:style w:type="paragraph" w:styleId="List2">
    <w:name w:val="List 2"/>
    <w:basedOn w:val="BodyText"/>
    <w:rsid w:val="00F269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69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69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69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69D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69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269D4"/>
    <w:pPr>
      <w:numPr>
        <w:numId w:val="2"/>
      </w:numPr>
    </w:pPr>
  </w:style>
  <w:style w:type="paragraph" w:styleId="ListContinue2">
    <w:name w:val="List Continue 2"/>
    <w:basedOn w:val="List2"/>
    <w:rsid w:val="00F269D4"/>
    <w:pPr>
      <w:ind w:firstLine="0"/>
    </w:pPr>
  </w:style>
  <w:style w:type="paragraph" w:styleId="ListContinue3">
    <w:name w:val="List Continue 3"/>
    <w:basedOn w:val="List3"/>
    <w:rsid w:val="00F269D4"/>
    <w:pPr>
      <w:ind w:left="1021" w:firstLine="0"/>
    </w:pPr>
  </w:style>
  <w:style w:type="paragraph" w:styleId="ListContinue4">
    <w:name w:val="List Continue 4"/>
    <w:basedOn w:val="List4"/>
    <w:rsid w:val="00F269D4"/>
    <w:pPr>
      <w:ind w:firstLine="0"/>
    </w:pPr>
  </w:style>
  <w:style w:type="paragraph" w:styleId="ListContinue5">
    <w:name w:val="List Continue 5"/>
    <w:basedOn w:val="List5"/>
    <w:rsid w:val="00F269D4"/>
    <w:pPr>
      <w:ind w:firstLine="0"/>
    </w:pPr>
  </w:style>
  <w:style w:type="paragraph" w:styleId="ListNumber3">
    <w:name w:val="List Number 3"/>
    <w:basedOn w:val="List3"/>
    <w:rsid w:val="00F269D4"/>
    <w:pPr>
      <w:numPr>
        <w:numId w:val="3"/>
      </w:numPr>
    </w:pPr>
  </w:style>
  <w:style w:type="paragraph" w:styleId="ListNumber4">
    <w:name w:val="List Number 4"/>
    <w:basedOn w:val="List4"/>
    <w:rsid w:val="00F269D4"/>
    <w:pPr>
      <w:numPr>
        <w:numId w:val="4"/>
      </w:numPr>
    </w:pPr>
  </w:style>
  <w:style w:type="paragraph" w:styleId="ListNumber5">
    <w:name w:val="List Number 5"/>
    <w:basedOn w:val="List5"/>
    <w:rsid w:val="00F269D4"/>
    <w:pPr>
      <w:numPr>
        <w:numId w:val="5"/>
      </w:numPr>
    </w:pPr>
  </w:style>
  <w:style w:type="paragraph" w:styleId="BlockText">
    <w:name w:val="Block Text"/>
    <w:basedOn w:val="Normal"/>
    <w:rsid w:val="00F269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69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69D4"/>
    <w:rPr>
      <w:sz w:val="16"/>
      <w:vertAlign w:val="superscript"/>
    </w:rPr>
  </w:style>
  <w:style w:type="character" w:customStyle="1" w:styleId="Symbols">
    <w:name w:val="Symbols"/>
    <w:basedOn w:val="DefaultParagraphFont"/>
    <w:rsid w:val="00F269D4"/>
    <w:rPr>
      <w:rFonts w:ascii="Symbol" w:hAnsi="Symbol"/>
    </w:rPr>
  </w:style>
  <w:style w:type="character" w:customStyle="1" w:styleId="MenuOptions">
    <w:name w:val="Menu Options"/>
    <w:basedOn w:val="DefaultParagraphFont"/>
    <w:rsid w:val="00F269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69D4"/>
    <w:rPr>
      <w:b/>
    </w:rPr>
  </w:style>
  <w:style w:type="character" w:customStyle="1" w:styleId="Underlined">
    <w:name w:val="Underlined"/>
    <w:basedOn w:val="DefaultParagraphFont"/>
    <w:rsid w:val="00F269D4"/>
    <w:rPr>
      <w:u w:val="single"/>
    </w:rPr>
  </w:style>
  <w:style w:type="paragraph" w:customStyle="1" w:styleId="TableBodyTextRight">
    <w:name w:val="Table Body Text Right"/>
    <w:basedOn w:val="TableBodyText"/>
    <w:rsid w:val="00F269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69D4"/>
    <w:rPr>
      <w:sz w:val="18"/>
    </w:rPr>
  </w:style>
  <w:style w:type="paragraph" w:customStyle="1" w:styleId="BodySmallRight">
    <w:name w:val="Body Small Right"/>
    <w:basedOn w:val="BodyTextRight"/>
    <w:rsid w:val="00F269D4"/>
    <w:rPr>
      <w:sz w:val="18"/>
      <w:szCs w:val="18"/>
    </w:rPr>
  </w:style>
  <w:style w:type="paragraph" w:customStyle="1" w:styleId="MarginEdition">
    <w:name w:val="Margin Edition"/>
    <w:basedOn w:val="MarginNote"/>
    <w:rsid w:val="00F269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69D4"/>
    <w:rPr>
      <w:sz w:val="2"/>
      <w:szCs w:val="2"/>
    </w:rPr>
  </w:style>
  <w:style w:type="character" w:customStyle="1" w:styleId="Small">
    <w:name w:val="Small"/>
    <w:basedOn w:val="DefaultParagraphFont"/>
    <w:rsid w:val="00F269D4"/>
    <w:rPr>
      <w:sz w:val="16"/>
    </w:rPr>
  </w:style>
  <w:style w:type="paragraph" w:customStyle="1" w:styleId="WideTable">
    <w:name w:val="Wide Table"/>
    <w:basedOn w:val="Normal"/>
    <w:rsid w:val="00F269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69D4"/>
  </w:style>
  <w:style w:type="paragraph" w:styleId="Quote">
    <w:name w:val="Quote"/>
    <w:basedOn w:val="Heading1"/>
    <w:link w:val="QuoteChar"/>
    <w:qFormat/>
    <w:rsid w:val="00F269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69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69D4"/>
    <w:pPr>
      <w:pageBreakBefore/>
    </w:pPr>
  </w:style>
  <w:style w:type="paragraph" w:customStyle="1" w:styleId="Border">
    <w:name w:val="Border"/>
    <w:basedOn w:val="Normal"/>
    <w:qFormat/>
    <w:rsid w:val="00F269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69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9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9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69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69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69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69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69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69D4"/>
    <w:rPr>
      <w:u w:val="single"/>
    </w:rPr>
  </w:style>
  <w:style w:type="character" w:customStyle="1" w:styleId="BoldandItalics">
    <w:name w:val="Bold and Italics"/>
    <w:qFormat/>
    <w:rsid w:val="00F269D4"/>
    <w:rPr>
      <w:b/>
      <w:i/>
      <w:u w:val="none"/>
    </w:rPr>
  </w:style>
  <w:style w:type="paragraph" w:styleId="BalloonText">
    <w:name w:val="Balloon Text"/>
    <w:basedOn w:val="Normal"/>
    <w:link w:val="BalloonTextChar"/>
    <w:rsid w:val="00F269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69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69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69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69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69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69D4"/>
    <w:pPr>
      <w:spacing w:before="0" w:after="0"/>
    </w:pPr>
  </w:style>
  <w:style w:type="paragraph" w:customStyle="1" w:styleId="BodyTextBold">
    <w:name w:val="Body Text Bold"/>
    <w:basedOn w:val="BodyText"/>
    <w:qFormat/>
    <w:rsid w:val="00F269D4"/>
    <w:rPr>
      <w:b/>
    </w:rPr>
  </w:style>
  <w:style w:type="character" w:styleId="Hyperlink">
    <w:name w:val="Hyperlink"/>
    <w:basedOn w:val="DefaultParagraphFont"/>
    <w:uiPriority w:val="99"/>
    <w:unhideWhenUsed/>
    <w:rsid w:val="001230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554</Words>
  <Characters>3515</Characters>
  <Application>Microsoft Office Word</Application>
  <DocSecurity>0</DocSecurity>
  <Lines>167</Lines>
  <Paragraphs>73</Paragraphs>
  <ScaleCrop>false</ScaleCrop>
  <Company>Author-it Software Corporation Ltd.</Company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TLIX0065 Maintain technical data and information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2024-07-12T07:34:00Z</dcterms:created>
  <dcterms:modified xsi:type="dcterms:W3CDTF">2024-07-12T07:34:00Z</dcterms:modified>
</cp:coreProperties>
</file>