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1141" w:rsidP="00F311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TLIX0062 Establish supply chains</w:t>
      </w:r>
      <w:r>
        <w:fldChar w:fldCharType="end"/>
      </w:r>
    </w:p>
    <w:p w:rsidR="00F31141" w:rsidP="00F31141">
      <w:pPr>
        <w:pStyle w:val="Version"/>
        <w:sectPr w:rsidSect="00BA28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28E2" w:rsidP="00BA28E2">
      <w:pPr>
        <w:pStyle w:val="SuperHeading"/>
      </w:pPr>
      <w:r w:rsidRPr="00BA28E2">
        <w:t>TLIX0062 Establish supply chains</w:t>
      </w:r>
    </w:p>
    <w:p w:rsidR="00000000" w:rsidRPr="00BA28E2" w:rsidP="00BA28E2">
      <w:pPr>
        <w:pStyle w:val="Heading1"/>
      </w:pPr>
      <w:bookmarkStart w:id="1" w:name="O_1268845"/>
      <w:bookmarkEnd w:id="1"/>
      <w:r w:rsidRPr="00BA28E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2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 w:rsidP="00BA28E2">
            <w:pPr>
              <w:pStyle w:val="BodyText"/>
            </w:pPr>
            <w:r w:rsidRPr="00BA28E2">
              <w:rPr>
                <w:rStyle w:val="SpecialBold"/>
              </w:rPr>
              <w:t xml:space="preserve">Release 1. </w:t>
            </w:r>
            <w:r w:rsidRPr="00BA28E2">
              <w:t>This is the first release of this unit of competency in the TLI Transport and Logistics Training Package.</w:t>
            </w:r>
          </w:p>
        </w:tc>
      </w:tr>
    </w:tbl>
    <w:p w:rsidR="00000000" w:rsidRPr="00BA28E2" w:rsidP="00BA28E2">
      <w:pPr>
        <w:pStyle w:val="NoPaddingFontSize1"/>
      </w:pPr>
    </w:p>
    <w:p w:rsidR="00000000" w:rsidRPr="00BA28E2" w:rsidP="00BA28E2">
      <w:pPr>
        <w:pStyle w:val="AllowPageBreak"/>
      </w:pPr>
    </w:p>
    <w:p w:rsidR="00000000" w:rsidRPr="00BA28E2" w:rsidP="00BA28E2">
      <w:pPr>
        <w:pStyle w:val="Heading1"/>
      </w:pPr>
      <w:bookmarkStart w:id="2" w:name="O_1268847"/>
      <w:bookmarkEnd w:id="2"/>
      <w:r w:rsidRPr="00BA28E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2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 w:rsidP="00BA28E2">
            <w:pPr>
              <w:pStyle w:val="BodyText"/>
            </w:pPr>
            <w:r w:rsidRPr="00BA28E2">
              <w:t xml:space="preserve">This unit involves the skills and knowledge required to establish supply chains. </w:t>
            </w:r>
          </w:p>
          <w:p w:rsidR="00000000" w:rsidRPr="00BA28E2" w:rsidP="00BA28E2">
            <w:pPr>
              <w:pStyle w:val="BodyText"/>
            </w:pPr>
            <w:r w:rsidRPr="00BA28E2">
              <w:t xml:space="preserve">It </w:t>
            </w:r>
            <w:r w:rsidRPr="00BA28E2">
              <w:t>includes determining supply chain requirements and supply chain management strategy, aligned with the development of a supply chain management model to meet organisational needs.</w:t>
            </w:r>
          </w:p>
          <w:p w:rsidR="00000000" w:rsidRPr="00BA28E2" w:rsidP="00BA28E2">
            <w:pPr>
              <w:pStyle w:val="BodyText"/>
            </w:pPr>
            <w:r w:rsidRPr="00BA28E2">
              <w:t>This unit was developed for materiel logisticians working within materiel log</w:t>
            </w:r>
            <w:r w:rsidRPr="00BA28E2">
              <w:t>istics but is applicable to individuals in broader logistics roles.</w:t>
            </w:r>
          </w:p>
          <w:p w:rsidR="00000000" w:rsidRPr="00BA28E2" w:rsidP="00BA28E2">
            <w:pPr>
              <w:pStyle w:val="BodyText"/>
            </w:pPr>
            <w:r w:rsidRPr="00BA28E2">
              <w:t>Individuals work independently or as part of a team under direct or indirect supervision, use discretion and judgement, and take responsibility for the quality of their outputs. All activi</w:t>
            </w:r>
            <w:r w:rsidRPr="00BA28E2">
              <w:t>ties are carried out in accordance with relevant organisational policy and procedures.</w:t>
            </w:r>
          </w:p>
          <w:p w:rsidR="00000000" w:rsidRPr="00BA28E2" w:rsidP="00BA28E2">
            <w:pPr>
              <w:pStyle w:val="BodyText"/>
            </w:pPr>
            <w:r w:rsidRPr="00BA28E2">
              <w:t>No licensing, legislative or certification requirements apply to this unit at the time of publication.</w:t>
            </w:r>
          </w:p>
        </w:tc>
      </w:tr>
    </w:tbl>
    <w:p w:rsidR="00000000" w:rsidRPr="00BA28E2" w:rsidP="00BA28E2">
      <w:pPr>
        <w:pStyle w:val="NoPaddingFontSize1"/>
      </w:pPr>
    </w:p>
    <w:p w:rsidR="00000000" w:rsidRPr="00BA28E2" w:rsidP="00BA28E2">
      <w:pPr>
        <w:pStyle w:val="AllowPageBreak"/>
      </w:pPr>
    </w:p>
    <w:p w:rsidR="00000000" w:rsidRPr="00BA28E2" w:rsidP="00BA28E2">
      <w:pPr>
        <w:pStyle w:val="Heading1"/>
      </w:pPr>
      <w:bookmarkStart w:id="3" w:name="O_1268849"/>
      <w:bookmarkEnd w:id="3"/>
      <w:r w:rsidRPr="00BA28E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2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 w:rsidP="00BA28E2">
            <w:pPr>
              <w:pStyle w:val="BodyText"/>
            </w:pPr>
            <w:r w:rsidRPr="00BA28E2">
              <w:t>Not applicable.</w:t>
            </w:r>
          </w:p>
        </w:tc>
      </w:tr>
    </w:tbl>
    <w:p w:rsidR="00000000" w:rsidRPr="00BA28E2" w:rsidP="00BA28E2">
      <w:pPr>
        <w:pStyle w:val="NoPaddingFontSize1"/>
      </w:pPr>
    </w:p>
    <w:p w:rsidR="00000000" w:rsidRPr="00BA28E2" w:rsidP="00BA28E2">
      <w:pPr>
        <w:pStyle w:val="AllowPageBreak"/>
      </w:pPr>
    </w:p>
    <w:p w:rsidR="00000000" w:rsidRPr="00BA28E2" w:rsidP="00BA28E2">
      <w:pPr>
        <w:pStyle w:val="Heading1"/>
      </w:pPr>
      <w:bookmarkStart w:id="4" w:name="O_1268851"/>
      <w:bookmarkEnd w:id="4"/>
      <w:r w:rsidRPr="00BA28E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2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 w:rsidP="00BA28E2">
            <w:pPr>
              <w:pStyle w:val="BodyText"/>
            </w:pPr>
            <w:r w:rsidRPr="00BA28E2">
              <w:t>X – Logistics</w:t>
            </w:r>
          </w:p>
        </w:tc>
      </w:tr>
    </w:tbl>
    <w:p w:rsidR="00000000" w:rsidRPr="00BA28E2" w:rsidP="00BA28E2">
      <w:pPr>
        <w:pStyle w:val="NoPaddingFontSize1"/>
      </w:pPr>
    </w:p>
    <w:p w:rsidR="00000000" w:rsidRPr="00BA28E2" w:rsidP="00BA28E2">
      <w:pPr>
        <w:pStyle w:val="AllowPageBreak"/>
      </w:pPr>
    </w:p>
    <w:p w:rsidR="00000000" w:rsidRPr="00BA28E2" w:rsidP="00BA28E2">
      <w:pPr>
        <w:pStyle w:val="Heading1"/>
      </w:pPr>
      <w:bookmarkStart w:id="5" w:name="O_1268853"/>
      <w:bookmarkEnd w:id="5"/>
      <w:r w:rsidRPr="00BA28E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2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 w:rsidP="00BA28E2">
            <w:pPr>
              <w:pStyle w:val="BodyText"/>
            </w:pPr>
            <w:r w:rsidRPr="00BA28E2">
              <w:t>Not applicable.</w:t>
            </w:r>
          </w:p>
        </w:tc>
      </w:tr>
    </w:tbl>
    <w:p w:rsidR="00000000" w:rsidRPr="00BA28E2" w:rsidP="00BA28E2">
      <w:pPr>
        <w:pStyle w:val="NoPaddingFontSize1"/>
      </w:pPr>
    </w:p>
    <w:p w:rsidR="00000000" w:rsidRPr="00BA28E2" w:rsidP="00BA28E2">
      <w:pPr>
        <w:pStyle w:val="AllowPageBreak"/>
      </w:pPr>
    </w:p>
    <w:p w:rsidR="00000000" w:rsidRPr="00BA28E2" w:rsidP="00BA28E2">
      <w:pPr>
        <w:pStyle w:val="Heading1"/>
      </w:pPr>
      <w:bookmarkStart w:id="6" w:name="O_1268855"/>
      <w:bookmarkEnd w:id="6"/>
      <w:r w:rsidRPr="00BA28E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23"/>
        <w:gridCol w:w="2919"/>
        <w:gridCol w:w="1363"/>
        <w:gridCol w:w="4492"/>
      </w:tblGrid>
      <w:tr w:rsidTr="00BA2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t>Elements describe the essential outcomes.</w:t>
            </w:r>
          </w:p>
        </w:tc>
        <w:tc>
          <w:tcPr>
            <w:tcW w:w="58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t>Performance criteria describe the performance needed to demonstrate achievement of the element.</w:t>
            </w:r>
          </w:p>
        </w:tc>
      </w:tr>
      <w:tr w:rsidTr="00BA2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 w:rsidP="00BA28E2">
            <w:pPr>
              <w:pStyle w:val="BodyText"/>
            </w:pPr>
            <w:r w:rsidRPr="00BA28E2">
              <w:rPr>
                <w:rStyle w:val="SpecialBold"/>
              </w:rPr>
              <w:t>1</w:t>
            </w:r>
          </w:p>
        </w:tc>
        <w:tc>
          <w:tcPr>
            <w:tcW w:w="29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 w:rsidP="00BA28E2">
            <w:pPr>
              <w:pStyle w:val="BodyText"/>
            </w:pPr>
            <w:r w:rsidRPr="00BA28E2">
              <w:rPr>
                <w:rStyle w:val="SpecialBold"/>
              </w:rPr>
              <w:t>Determine supply chain requirements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rPr>
                <w:rStyle w:val="SpecialBold"/>
              </w:rPr>
              <w:t>1.1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t>Supply chain components are identified and links and inter-relationships are analysed in accordance with organisational policy and procedures</w:t>
            </w:r>
          </w:p>
        </w:tc>
      </w:tr>
      <w:tr w:rsidTr="00BA2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>
            <w:pPr>
              <w:pStyle w:val="BodyText"/>
              <w:keepLines w:val="0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rPr>
                <w:rStyle w:val="SpecialBold"/>
              </w:rPr>
              <w:t>1.2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t xml:space="preserve">Communication, data access, information sharing and technology requirements for an integrated supply chain </w:t>
            </w:r>
            <w:r w:rsidRPr="00BA28E2">
              <w:t>are determined</w:t>
            </w:r>
          </w:p>
        </w:tc>
      </w:tr>
      <w:tr w:rsidTr="00BA2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>
            <w:pPr>
              <w:pStyle w:val="BodyText"/>
              <w:keepLines w:val="0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rPr>
                <w:rStyle w:val="SpecialBold"/>
              </w:rPr>
              <w:t>1.3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t>Requirements for collaborative planning, forecasting and tailored supply chains are identified</w:t>
            </w:r>
          </w:p>
        </w:tc>
      </w:tr>
      <w:tr w:rsidTr="00BA2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>
            <w:pPr>
              <w:pStyle w:val="BodyText"/>
              <w:keepLines w:val="0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rPr>
                <w:rStyle w:val="SpecialBold"/>
              </w:rPr>
              <w:t>1.4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t>Supply chain requirements are documented in accordance with organisational policy and procedures</w:t>
            </w:r>
          </w:p>
        </w:tc>
      </w:tr>
      <w:tr w:rsidTr="00BA2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>
            <w:pPr>
              <w:pStyle w:val="BodyText"/>
              <w:keepLines w:val="0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rPr>
                <w:rStyle w:val="SpecialBold"/>
              </w:rPr>
              <w:t>1.5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t>Work health and safety (WHS)/occupational health and safety (OHS) requirements, including those contained in organisational procedures, are applied throughout the operation</w:t>
            </w:r>
          </w:p>
        </w:tc>
      </w:tr>
      <w:tr w:rsidTr="00BA2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 w:rsidP="00BA28E2">
            <w:pPr>
              <w:pStyle w:val="BodyText"/>
            </w:pPr>
            <w:r w:rsidRPr="00BA28E2">
              <w:rPr>
                <w:rStyle w:val="SpecialBold"/>
              </w:rPr>
              <w:t>2</w:t>
            </w:r>
          </w:p>
        </w:tc>
        <w:tc>
          <w:tcPr>
            <w:tcW w:w="29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 w:rsidP="00BA28E2">
            <w:pPr>
              <w:pStyle w:val="BodyText"/>
            </w:pPr>
            <w:r w:rsidRPr="00BA28E2">
              <w:rPr>
                <w:rStyle w:val="SpecialBold"/>
              </w:rPr>
              <w:t>Determine supply chain management strategy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rPr>
                <w:rStyle w:val="SpecialBold"/>
              </w:rPr>
              <w:t>2.1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t xml:space="preserve">Outsourcing, choice of suppliers </w:t>
            </w:r>
            <w:r w:rsidRPr="00BA28E2">
              <w:t xml:space="preserve">and partners, reshaping contractual relationships and the performance of the entire supply chain rather than individual supply chain segments are covered by strategies </w:t>
            </w:r>
          </w:p>
        </w:tc>
      </w:tr>
      <w:tr w:rsidTr="00BA2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>
            <w:pPr>
              <w:pStyle w:val="BodyText"/>
              <w:keepLines w:val="0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rPr>
                <w:rStyle w:val="SpecialBold"/>
              </w:rPr>
              <w:t>2.2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t>Matching supplier capability to stakeholder requirements including strategies to optimise electronic information sharing and inventory risk management, and to minimise environmental impacts is included in strategies</w:t>
            </w:r>
          </w:p>
        </w:tc>
      </w:tr>
      <w:tr w:rsidTr="00BA2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>
            <w:pPr>
              <w:pStyle w:val="BodyText"/>
              <w:keepLines w:val="0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rPr>
                <w:rStyle w:val="SpecialBold"/>
              </w:rPr>
              <w:t>2.3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t>Strategies to build effective sta</w:t>
            </w:r>
            <w:r w:rsidRPr="00BA28E2">
              <w:t>keholder supplier relationships are identified</w:t>
            </w:r>
          </w:p>
        </w:tc>
      </w:tr>
      <w:tr w:rsidTr="00BA2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>
            <w:pPr>
              <w:pStyle w:val="BodyText"/>
              <w:keepLines w:val="0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rPr>
                <w:rStyle w:val="SpecialBold"/>
              </w:rPr>
              <w:t>2.4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t xml:space="preserve">Stakeholder satisfaction requirements across the supply chain continuum are included in performance management strategies </w:t>
            </w:r>
          </w:p>
        </w:tc>
      </w:tr>
      <w:tr w:rsidTr="00BA2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>
            <w:pPr>
              <w:pStyle w:val="BodyText"/>
              <w:keepLines w:val="0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rPr>
                <w:rStyle w:val="SpecialBold"/>
              </w:rPr>
              <w:t>2.5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t>Strategic alliances, electronic business and electronic data interchange</w:t>
            </w:r>
            <w:r w:rsidRPr="00BA28E2">
              <w:t xml:space="preserve"> are included in supply chain management strategies</w:t>
            </w:r>
          </w:p>
        </w:tc>
      </w:tr>
      <w:tr w:rsidTr="00BA2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>
            <w:pPr>
              <w:pStyle w:val="BodyText"/>
              <w:keepLines w:val="0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rPr>
                <w:rStyle w:val="SpecialBold"/>
              </w:rPr>
              <w:t>2.6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t>Legal, ethical, environmental and security issues relating to supply chain management are addressed in supply chain management strategies</w:t>
            </w:r>
          </w:p>
        </w:tc>
      </w:tr>
      <w:tr w:rsidTr="00BA2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>
            <w:pPr>
              <w:pStyle w:val="BodyText"/>
              <w:keepLines w:val="0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rPr>
                <w:rStyle w:val="SpecialBold"/>
              </w:rPr>
              <w:t>2.7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t xml:space="preserve">Integration of supply chain processes into existing business processes is included in </w:t>
            </w:r>
            <w:r w:rsidRPr="00BA28E2">
              <w:t>strategy</w:t>
            </w:r>
          </w:p>
        </w:tc>
      </w:tr>
      <w:tr w:rsidTr="00BA2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 w:rsidP="00BA28E2">
            <w:pPr>
              <w:pStyle w:val="BodyText"/>
            </w:pPr>
            <w:r w:rsidRPr="00BA28E2">
              <w:rPr>
                <w:rStyle w:val="SpecialBold"/>
              </w:rPr>
              <w:t>3</w:t>
            </w:r>
          </w:p>
        </w:tc>
        <w:tc>
          <w:tcPr>
            <w:tcW w:w="29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 w:rsidP="00BA28E2">
            <w:pPr>
              <w:pStyle w:val="BodyText"/>
            </w:pPr>
            <w:r w:rsidRPr="00BA28E2">
              <w:rPr>
                <w:rStyle w:val="SpecialBold"/>
              </w:rPr>
              <w:t>Develop supply chain management model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rPr>
                <w:rStyle w:val="SpecialBold"/>
              </w:rPr>
              <w:t>3.1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t>Supply chain management options are researched, and strengths and weaknesses of each option are identified</w:t>
            </w:r>
          </w:p>
        </w:tc>
      </w:tr>
      <w:tr w:rsidTr="00BA2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>
            <w:pPr>
              <w:pStyle w:val="BodyText"/>
              <w:keepLines w:val="0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rPr>
                <w:rStyle w:val="SpecialBold"/>
              </w:rPr>
              <w:t>3.2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t xml:space="preserve">Supply chain management models are investigated and requirements are analysed and compared with supply chain capability and culture </w:t>
            </w:r>
          </w:p>
        </w:tc>
      </w:tr>
      <w:tr w:rsidTr="00BA2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>
            <w:pPr>
              <w:pStyle w:val="BodyText"/>
              <w:keepLines w:val="0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rPr>
                <w:rStyle w:val="SpecialBold"/>
              </w:rPr>
              <w:t>3.3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t>Model for supply chain management is developed that meets organisational needs including information flow, collaborative planning and forecasting, in accordance with the organisation’s supply chain management strategy</w:t>
            </w:r>
          </w:p>
        </w:tc>
      </w:tr>
      <w:tr w:rsidTr="00BA2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>
            <w:pPr>
              <w:pStyle w:val="BodyText"/>
              <w:keepLines w:val="0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E2">
            <w:pPr>
              <w:pStyle w:val="BodyText"/>
              <w:rPr>
                <w:lang w:val="en-NZ"/>
              </w:rPr>
            </w:pPr>
            <w:r w:rsidRPr="00BA28E2">
              <w:rPr>
                <w:rStyle w:val="SpecialBold"/>
              </w:rPr>
              <w:t>3.4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 w:rsidP="00BA28E2">
            <w:pPr>
              <w:pStyle w:val="BodyText"/>
            </w:pPr>
            <w:r w:rsidRPr="00BA28E2">
              <w:t>Supply chain management model i</w:t>
            </w:r>
            <w:r w:rsidRPr="00BA28E2">
              <w:t>s developed to support optimised inventory footprints, operating costs, faster cycle times and greater stakeholder satisfaction rates</w:t>
            </w:r>
          </w:p>
        </w:tc>
      </w:tr>
    </w:tbl>
    <w:p w:rsidR="00000000" w:rsidRPr="00BA28E2" w:rsidP="00BA28E2">
      <w:pPr>
        <w:pStyle w:val="NoPaddingFontSize1"/>
      </w:pPr>
    </w:p>
    <w:p w:rsidR="00000000" w:rsidRPr="00BA28E2" w:rsidP="00BA28E2">
      <w:pPr>
        <w:pStyle w:val="AllowPageBreak"/>
      </w:pPr>
    </w:p>
    <w:p w:rsidR="00000000" w:rsidRPr="00BA28E2" w:rsidP="00BA28E2">
      <w:pPr>
        <w:pStyle w:val="Heading1"/>
      </w:pPr>
      <w:bookmarkStart w:id="7" w:name="O_1268857"/>
      <w:bookmarkEnd w:id="7"/>
      <w:r w:rsidRPr="00BA28E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2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 w:rsidP="00BA28E2">
            <w:pPr>
              <w:pStyle w:val="BodyText"/>
            </w:pPr>
            <w:r w:rsidRPr="00BA28E2">
              <w:t>Foundation skills essential to performance are explicit in the performance criteria</w:t>
            </w:r>
            <w:r w:rsidRPr="00BA28E2">
              <w:t xml:space="preserve"> of this unit of competency.</w:t>
            </w:r>
          </w:p>
        </w:tc>
      </w:tr>
    </w:tbl>
    <w:p w:rsidR="00000000" w:rsidRPr="00BA28E2" w:rsidP="00BA28E2">
      <w:pPr>
        <w:pStyle w:val="NoPaddingFontSize1"/>
      </w:pPr>
    </w:p>
    <w:p w:rsidR="00000000" w:rsidRPr="00BA28E2" w:rsidP="00BA28E2">
      <w:pPr>
        <w:pStyle w:val="AllowPageBreak"/>
      </w:pPr>
    </w:p>
    <w:p w:rsidR="00000000" w:rsidRPr="00BA28E2" w:rsidP="00BA28E2">
      <w:pPr>
        <w:pStyle w:val="Heading1"/>
      </w:pPr>
      <w:bookmarkStart w:id="8" w:name="O_1268859"/>
      <w:bookmarkEnd w:id="8"/>
      <w:r w:rsidRPr="00BA28E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2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 w:rsidP="00BA28E2">
            <w:pPr>
              <w:pStyle w:val="BodyText"/>
            </w:pPr>
            <w:r w:rsidRPr="00BA28E2">
              <w:t>Range is restricted to essential operating conditions and any other variables essential to the work environment.</w:t>
            </w:r>
          </w:p>
          <w:p w:rsidR="00000000" w:rsidRPr="00BA28E2" w:rsidP="00BA28E2">
            <w:pPr>
              <w:pStyle w:val="BodyText"/>
            </w:pPr>
            <w:r w:rsidRPr="00BA28E2">
              <w:t>Non-essential conditions can be found in the Companion Volume Implementation Guide.</w:t>
            </w:r>
          </w:p>
        </w:tc>
      </w:tr>
    </w:tbl>
    <w:p w:rsidR="00000000" w:rsidRPr="00BA28E2" w:rsidP="00BA28E2">
      <w:pPr>
        <w:pStyle w:val="NoPaddingFontSize1"/>
      </w:pPr>
    </w:p>
    <w:p w:rsidR="00000000" w:rsidRPr="00BA28E2" w:rsidP="00BA28E2">
      <w:pPr>
        <w:pStyle w:val="AllowPageBreak"/>
      </w:pPr>
    </w:p>
    <w:p w:rsidR="00000000" w:rsidRPr="00BA28E2" w:rsidP="00BA28E2">
      <w:pPr>
        <w:pStyle w:val="Heading1"/>
      </w:pPr>
      <w:bookmarkStart w:id="9" w:name="O_1268860"/>
      <w:bookmarkEnd w:id="9"/>
      <w:r w:rsidRPr="00BA28E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2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E2" w:rsidP="00BA28E2">
            <w:pPr>
              <w:pStyle w:val="BodyText"/>
            </w:pPr>
            <w:r w:rsidRPr="00BA28E2">
              <w:t>This unit replaces and is equivalent to TLIX5015 Establish supply chains.</w:t>
            </w:r>
          </w:p>
        </w:tc>
      </w:tr>
    </w:tbl>
    <w:p w:rsidR="00000000" w:rsidRPr="00BA28E2" w:rsidP="00BA28E2">
      <w:pPr>
        <w:pStyle w:val="NoPaddingFontSize1"/>
      </w:pPr>
    </w:p>
    <w:p w:rsidR="00000000" w:rsidRPr="00BA28E2" w:rsidP="00BA28E2">
      <w:pPr>
        <w:pStyle w:val="AllowPageBreak"/>
      </w:pPr>
    </w:p>
    <w:p w:rsidR="00000000" w:rsidRPr="00BA28E2" w:rsidP="00BA28E2">
      <w:pPr>
        <w:pStyle w:val="Heading1"/>
      </w:pPr>
      <w:bookmarkStart w:id="10" w:name="O_1268867"/>
      <w:bookmarkEnd w:id="10"/>
      <w:r w:rsidRPr="00BA28E2">
        <w:t>Links</w:t>
      </w:r>
    </w:p>
    <w:p w:rsidR="00000000" w:rsidRPr="00BA28E2" w:rsidP="00F31141">
      <w:pPr>
        <w:pStyle w:val="BodyText"/>
      </w:pPr>
      <w:r w:rsidRPr="00BA28E2">
        <w:t>Companion Volume Implemen</w:t>
      </w:r>
      <w:r w:rsidRPr="00BA28E2">
        <w:t xml:space="preserve">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439F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A28E2" w:rsidP="00BA28E2"/>
    <w:sectPr w:rsidSect="00BA28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8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8E2" w:rsidRPr="00F31141" w:rsidP="00F311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8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141" w:rsidP="00BA28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1141" w:rsidP="00BA28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31141" w:rsidP="00BA28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8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1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28E2" w:rsidRPr="00F31141" w:rsidP="00F311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8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141" w:rsidRPr="002D2AF8" w:rsidP="00BA28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TLIX0062 Establish supply chains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31141" w:rsidP="00BA28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8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28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28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28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28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28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28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28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28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28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28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28E2"/>
  </w:style>
  <w:style w:type="character" w:customStyle="1" w:styleId="Heading1Char">
    <w:name w:val="Heading 1 Char"/>
    <w:basedOn w:val="DefaultParagraphFont"/>
    <w:link w:val="Heading1"/>
    <w:rsid w:val="00BA28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28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28E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A28E2"/>
    <w:rPr>
      <w:b/>
      <w:spacing w:val="0"/>
    </w:rPr>
  </w:style>
  <w:style w:type="paragraph" w:customStyle="1" w:styleId="SuperHeading">
    <w:name w:val="SuperHeading"/>
    <w:basedOn w:val="Normal"/>
    <w:rsid w:val="00BA28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28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A28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28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28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28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28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28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28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28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28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28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28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28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28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28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28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28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28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28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28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28E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28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28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28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28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28E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28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28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28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28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28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28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28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28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28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28E2"/>
    <w:rPr>
      <w:i/>
    </w:rPr>
  </w:style>
  <w:style w:type="paragraph" w:styleId="Caption">
    <w:name w:val="caption"/>
    <w:basedOn w:val="BodyText"/>
    <w:next w:val="Normal"/>
    <w:qFormat/>
    <w:rsid w:val="00BA28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28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28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28E2"/>
  </w:style>
  <w:style w:type="paragraph" w:styleId="TableofFigures">
    <w:name w:val="table of figures"/>
    <w:basedOn w:val="Normal"/>
    <w:next w:val="Normal"/>
    <w:semiHidden/>
    <w:rsid w:val="00BA28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28E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28E2"/>
    <w:rPr>
      <w:rFonts w:ascii="Wingdings" w:hAnsi="Wingdings"/>
    </w:rPr>
  </w:style>
  <w:style w:type="paragraph" w:customStyle="1" w:styleId="TableHeading">
    <w:name w:val="Table Heading"/>
    <w:basedOn w:val="HeadingBase"/>
    <w:rsid w:val="00BA28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28E2"/>
    <w:rPr>
      <w:color w:val="0033CC"/>
      <w:u w:val="none"/>
    </w:rPr>
  </w:style>
  <w:style w:type="paragraph" w:customStyle="1" w:styleId="BodyTextRight">
    <w:name w:val="Body Text Right"/>
    <w:basedOn w:val="BodyText"/>
    <w:rsid w:val="00BA28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28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28E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28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28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28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28E2"/>
    <w:rPr>
      <w:sz w:val="32"/>
    </w:rPr>
  </w:style>
  <w:style w:type="paragraph" w:customStyle="1" w:styleId="HeadingProcedure">
    <w:name w:val="Heading Procedure"/>
    <w:basedOn w:val="HeadingBase"/>
    <w:next w:val="Normal"/>
    <w:rsid w:val="00BA28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28E2"/>
    <w:pPr>
      <w:spacing w:before="60" w:after="60"/>
    </w:pPr>
  </w:style>
  <w:style w:type="paragraph" w:styleId="ListContinue">
    <w:name w:val="List Continue"/>
    <w:basedOn w:val="List"/>
    <w:rsid w:val="00BA28E2"/>
    <w:pPr>
      <w:ind w:firstLine="0"/>
    </w:pPr>
  </w:style>
  <w:style w:type="paragraph" w:customStyle="1" w:styleId="ListNote">
    <w:name w:val="List Note"/>
    <w:basedOn w:val="List"/>
    <w:rsid w:val="00BA28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28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28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28E2"/>
    <w:rPr>
      <w:rFonts w:ascii="Courier New" w:hAnsi="Courier New"/>
    </w:rPr>
  </w:style>
  <w:style w:type="paragraph" w:customStyle="1" w:styleId="NoteBullet">
    <w:name w:val="Note Bullet"/>
    <w:basedOn w:val="Note"/>
    <w:rsid w:val="00BA28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28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28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28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28E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28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28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28E2"/>
    <w:rPr>
      <w:b/>
      <w:smallCaps/>
    </w:rPr>
  </w:style>
  <w:style w:type="paragraph" w:customStyle="1" w:styleId="TableListNumber">
    <w:name w:val="Table List Number"/>
    <w:basedOn w:val="ListNumber"/>
    <w:rsid w:val="00BA28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28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28E2"/>
    <w:pPr>
      <w:numPr>
        <w:numId w:val="7"/>
      </w:numPr>
    </w:pPr>
  </w:style>
  <w:style w:type="paragraph" w:customStyle="1" w:styleId="ListAlpha2">
    <w:name w:val="List Alpha 2"/>
    <w:basedOn w:val="List2"/>
    <w:rsid w:val="00BA28E2"/>
    <w:pPr>
      <w:numPr>
        <w:numId w:val="6"/>
      </w:numPr>
    </w:pPr>
  </w:style>
  <w:style w:type="paragraph" w:styleId="List2">
    <w:name w:val="List 2"/>
    <w:basedOn w:val="BodyText"/>
    <w:rsid w:val="00BA28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28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28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28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28E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28E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28E2"/>
    <w:pPr>
      <w:numPr>
        <w:numId w:val="2"/>
      </w:numPr>
    </w:pPr>
  </w:style>
  <w:style w:type="paragraph" w:styleId="ListContinue2">
    <w:name w:val="List Continue 2"/>
    <w:basedOn w:val="List2"/>
    <w:rsid w:val="00BA28E2"/>
    <w:pPr>
      <w:ind w:firstLine="0"/>
    </w:pPr>
  </w:style>
  <w:style w:type="paragraph" w:styleId="ListContinue3">
    <w:name w:val="List Continue 3"/>
    <w:basedOn w:val="List3"/>
    <w:rsid w:val="00BA28E2"/>
    <w:pPr>
      <w:ind w:left="1021" w:firstLine="0"/>
    </w:pPr>
  </w:style>
  <w:style w:type="paragraph" w:styleId="ListContinue4">
    <w:name w:val="List Continue 4"/>
    <w:basedOn w:val="List4"/>
    <w:rsid w:val="00BA28E2"/>
    <w:pPr>
      <w:ind w:firstLine="0"/>
    </w:pPr>
  </w:style>
  <w:style w:type="paragraph" w:styleId="ListContinue5">
    <w:name w:val="List Continue 5"/>
    <w:basedOn w:val="List5"/>
    <w:rsid w:val="00BA28E2"/>
    <w:pPr>
      <w:ind w:firstLine="0"/>
    </w:pPr>
  </w:style>
  <w:style w:type="paragraph" w:styleId="ListNumber3">
    <w:name w:val="List Number 3"/>
    <w:basedOn w:val="List3"/>
    <w:rsid w:val="00BA28E2"/>
    <w:pPr>
      <w:numPr>
        <w:numId w:val="3"/>
      </w:numPr>
    </w:pPr>
  </w:style>
  <w:style w:type="paragraph" w:styleId="ListNumber4">
    <w:name w:val="List Number 4"/>
    <w:basedOn w:val="List4"/>
    <w:rsid w:val="00BA28E2"/>
    <w:pPr>
      <w:numPr>
        <w:numId w:val="4"/>
      </w:numPr>
    </w:pPr>
  </w:style>
  <w:style w:type="paragraph" w:styleId="ListNumber5">
    <w:name w:val="List Number 5"/>
    <w:basedOn w:val="List5"/>
    <w:rsid w:val="00BA28E2"/>
    <w:pPr>
      <w:numPr>
        <w:numId w:val="5"/>
      </w:numPr>
    </w:pPr>
  </w:style>
  <w:style w:type="paragraph" w:styleId="BlockText">
    <w:name w:val="Block Text"/>
    <w:basedOn w:val="Normal"/>
    <w:rsid w:val="00BA28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28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28E2"/>
    <w:rPr>
      <w:sz w:val="16"/>
      <w:vertAlign w:val="superscript"/>
    </w:rPr>
  </w:style>
  <w:style w:type="character" w:customStyle="1" w:styleId="Symbols">
    <w:name w:val="Symbols"/>
    <w:basedOn w:val="DefaultParagraphFont"/>
    <w:rsid w:val="00BA28E2"/>
    <w:rPr>
      <w:rFonts w:ascii="Symbol" w:hAnsi="Symbol"/>
    </w:rPr>
  </w:style>
  <w:style w:type="character" w:customStyle="1" w:styleId="MenuOptions">
    <w:name w:val="Menu Options"/>
    <w:basedOn w:val="DefaultParagraphFont"/>
    <w:rsid w:val="00BA28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28E2"/>
    <w:rPr>
      <w:b/>
    </w:rPr>
  </w:style>
  <w:style w:type="character" w:customStyle="1" w:styleId="Underlined">
    <w:name w:val="Underlined"/>
    <w:basedOn w:val="DefaultParagraphFont"/>
    <w:rsid w:val="00BA28E2"/>
    <w:rPr>
      <w:u w:val="single"/>
    </w:rPr>
  </w:style>
  <w:style w:type="paragraph" w:customStyle="1" w:styleId="TableBodyTextRight">
    <w:name w:val="Table Body Text Right"/>
    <w:basedOn w:val="TableBodyText"/>
    <w:rsid w:val="00BA28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28E2"/>
    <w:rPr>
      <w:sz w:val="18"/>
    </w:rPr>
  </w:style>
  <w:style w:type="paragraph" w:customStyle="1" w:styleId="BodySmallRight">
    <w:name w:val="Body Small Right"/>
    <w:basedOn w:val="BodyTextRight"/>
    <w:rsid w:val="00BA28E2"/>
    <w:rPr>
      <w:sz w:val="18"/>
      <w:szCs w:val="18"/>
    </w:rPr>
  </w:style>
  <w:style w:type="paragraph" w:customStyle="1" w:styleId="MarginEdition">
    <w:name w:val="Margin Edition"/>
    <w:basedOn w:val="MarginNote"/>
    <w:rsid w:val="00BA28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28E2"/>
    <w:rPr>
      <w:sz w:val="2"/>
      <w:szCs w:val="2"/>
    </w:rPr>
  </w:style>
  <w:style w:type="character" w:customStyle="1" w:styleId="Small">
    <w:name w:val="Small"/>
    <w:basedOn w:val="DefaultParagraphFont"/>
    <w:rsid w:val="00BA28E2"/>
    <w:rPr>
      <w:sz w:val="16"/>
    </w:rPr>
  </w:style>
  <w:style w:type="paragraph" w:customStyle="1" w:styleId="WideTable">
    <w:name w:val="Wide Table"/>
    <w:basedOn w:val="Normal"/>
    <w:rsid w:val="00BA28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28E2"/>
  </w:style>
  <w:style w:type="paragraph" w:styleId="Quote">
    <w:name w:val="Quote"/>
    <w:basedOn w:val="Heading1"/>
    <w:link w:val="QuoteChar"/>
    <w:qFormat/>
    <w:rsid w:val="00BA28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28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28E2"/>
    <w:pPr>
      <w:pageBreakBefore/>
    </w:pPr>
  </w:style>
  <w:style w:type="paragraph" w:customStyle="1" w:styleId="Border">
    <w:name w:val="Border"/>
    <w:basedOn w:val="Normal"/>
    <w:qFormat/>
    <w:rsid w:val="00BA28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28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8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8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28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28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28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28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28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28E2"/>
    <w:rPr>
      <w:u w:val="single"/>
    </w:rPr>
  </w:style>
  <w:style w:type="character" w:customStyle="1" w:styleId="BoldandItalics">
    <w:name w:val="Bold and Italics"/>
    <w:qFormat/>
    <w:rsid w:val="00BA28E2"/>
    <w:rPr>
      <w:b/>
      <w:i/>
      <w:u w:val="none"/>
    </w:rPr>
  </w:style>
  <w:style w:type="paragraph" w:styleId="BalloonText">
    <w:name w:val="Balloon Text"/>
    <w:basedOn w:val="Normal"/>
    <w:link w:val="BalloonTextChar"/>
    <w:rsid w:val="00BA28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28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28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28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28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28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28E2"/>
    <w:pPr>
      <w:spacing w:before="0" w:after="0"/>
    </w:pPr>
  </w:style>
  <w:style w:type="paragraph" w:customStyle="1" w:styleId="BodyTextBold">
    <w:name w:val="Body Text Bold"/>
    <w:basedOn w:val="BodyText"/>
    <w:qFormat/>
    <w:rsid w:val="00BA28E2"/>
    <w:rPr>
      <w:b/>
    </w:rPr>
  </w:style>
  <w:style w:type="character" w:styleId="Hyperlink">
    <w:name w:val="Hyperlink"/>
    <w:basedOn w:val="DefaultParagraphFont"/>
    <w:uiPriority w:val="99"/>
    <w:unhideWhenUsed/>
    <w:rsid w:val="00F311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3939</Characters>
  <Application>Microsoft Office Word</Application>
  <DocSecurity>0</DocSecurity>
  <Lines>187</Lines>
  <Paragraphs>80</Paragraphs>
  <ScaleCrop>false</ScaleCrop>
  <Company>Author-it Software Corporation Ltd.</Company>
  <LinksUpToDate>false</LinksUpToDate>
  <CharactersWithSpaces>4455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TLIX0062 Establish supply chains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2024-07-12T07:19:00Z</dcterms:created>
  <dcterms:modified xsi:type="dcterms:W3CDTF">2024-07-12T07:19:00Z</dcterms:modified>
</cp:coreProperties>
</file>