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282" w:rsidP="004902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TLIX0061 Develop materiel logistics processes and procedures</w:t>
      </w:r>
      <w:r>
        <w:fldChar w:fldCharType="end"/>
      </w:r>
    </w:p>
    <w:p w:rsidR="00490282" w:rsidP="00490282">
      <w:pPr>
        <w:pStyle w:val="Version"/>
        <w:sectPr w:rsidSect="00EE2A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2A7E" w:rsidP="00EE2A7E">
      <w:pPr>
        <w:pStyle w:val="SuperHeading"/>
      </w:pPr>
      <w:r w:rsidRPr="00EE2A7E">
        <w:t>TLIX0061 Develop materiel logistics processes and procedures</w:t>
      </w:r>
    </w:p>
    <w:p w:rsidR="00000000" w:rsidRPr="00EE2A7E" w:rsidP="00EE2A7E">
      <w:pPr>
        <w:pStyle w:val="Heading1"/>
      </w:pPr>
      <w:bookmarkStart w:id="1" w:name="O_1268689"/>
      <w:bookmarkEnd w:id="1"/>
      <w:r w:rsidRPr="00EE2A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 w:rsidP="00EE2A7E">
            <w:pPr>
              <w:pStyle w:val="BodyText"/>
            </w:pPr>
            <w:r w:rsidRPr="00EE2A7E">
              <w:rPr>
                <w:rStyle w:val="SpecialBold"/>
              </w:rPr>
              <w:t>Release 1.</w:t>
            </w:r>
            <w:r w:rsidRPr="00EE2A7E">
              <w:t xml:space="preserve"> This is the first release of this unit of competency in the TLI Transport and Logistics Training Package.</w:t>
            </w:r>
          </w:p>
        </w:tc>
      </w:tr>
    </w:tbl>
    <w:p w:rsidR="00000000" w:rsidRPr="00EE2A7E" w:rsidP="00EE2A7E">
      <w:pPr>
        <w:pStyle w:val="NoPaddingFontSize1"/>
      </w:pPr>
    </w:p>
    <w:p w:rsidR="00000000" w:rsidRPr="00EE2A7E" w:rsidP="00EE2A7E">
      <w:pPr>
        <w:pStyle w:val="AllowPageBreak"/>
      </w:pPr>
    </w:p>
    <w:p w:rsidR="00000000" w:rsidRPr="00EE2A7E" w:rsidP="00EE2A7E">
      <w:pPr>
        <w:pStyle w:val="Heading1"/>
      </w:pPr>
      <w:bookmarkStart w:id="2" w:name="O_1268690"/>
      <w:bookmarkEnd w:id="2"/>
      <w:r w:rsidRPr="00EE2A7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 w:rsidP="00EE2A7E">
            <w:pPr>
              <w:pStyle w:val="BodyText"/>
            </w:pPr>
            <w:r w:rsidRPr="00EE2A7E">
              <w:t>This unit involves the skills and knowledge required to develop mat</w:t>
            </w:r>
            <w:r w:rsidRPr="00EE2A7E">
              <w:t xml:space="preserve">eriel logistics processes and procedures in accordance with relevant organisational policy and procedures. </w:t>
            </w:r>
          </w:p>
          <w:p w:rsidR="00000000" w:rsidRPr="00EE2A7E" w:rsidP="00EE2A7E">
            <w:pPr>
              <w:pStyle w:val="BodyText"/>
            </w:pPr>
            <w:r w:rsidRPr="00EE2A7E">
              <w:t>It includes anticipating and confirming the need for development, the development processes, gathering and analysing information, determining direct</w:t>
            </w:r>
            <w:r w:rsidRPr="00EE2A7E">
              <w:t xml:space="preserve">ion, and drafting, releasing and promoting the processes. It also includes the initial development of procedures integral to the processes. </w:t>
            </w:r>
          </w:p>
          <w:p w:rsidR="00000000" w:rsidRPr="00EE2A7E" w:rsidP="00EE2A7E">
            <w:pPr>
              <w:pStyle w:val="BodyText"/>
            </w:pPr>
            <w:r w:rsidRPr="00EE2A7E">
              <w:t>This unit was developed for materiel logistics specialists working in integrated logistics support roles and materi</w:t>
            </w:r>
            <w:r w:rsidRPr="00EE2A7E">
              <w:t>el sustainment roles; but may be applicable to individuals in broader logistics roles.</w:t>
            </w:r>
          </w:p>
          <w:p w:rsidR="00000000" w:rsidRPr="00EE2A7E" w:rsidP="00EE2A7E">
            <w:pPr>
              <w:pStyle w:val="BodyText"/>
            </w:pPr>
            <w:r w:rsidRPr="00EE2A7E">
              <w:t xml:space="preserve">Individuals work independently or as part of a team under direct or indirect supervision, use discretion and judgement, and take responsibility for the quality of their </w:t>
            </w:r>
            <w:r w:rsidRPr="00EE2A7E">
              <w:t>outputs.</w:t>
            </w:r>
          </w:p>
          <w:p w:rsidR="00000000" w:rsidRPr="00EE2A7E" w:rsidP="00EE2A7E">
            <w:pPr>
              <w:pStyle w:val="BodyText"/>
            </w:pPr>
            <w:r w:rsidRPr="00EE2A7E">
              <w:t>No licensing, legislative or certification requirements apply to this unit at the time of publication.</w:t>
            </w:r>
          </w:p>
        </w:tc>
      </w:tr>
    </w:tbl>
    <w:p w:rsidR="00000000" w:rsidRPr="00EE2A7E" w:rsidP="00EE2A7E">
      <w:pPr>
        <w:pStyle w:val="NoPaddingFontSize1"/>
      </w:pPr>
    </w:p>
    <w:p w:rsidR="00000000" w:rsidRPr="00EE2A7E" w:rsidP="00EE2A7E">
      <w:pPr>
        <w:pStyle w:val="AllowPageBreak"/>
      </w:pPr>
    </w:p>
    <w:p w:rsidR="00000000" w:rsidRPr="00EE2A7E" w:rsidP="00EE2A7E">
      <w:pPr>
        <w:pStyle w:val="Heading1"/>
      </w:pPr>
      <w:bookmarkStart w:id="3" w:name="O_1268691"/>
      <w:bookmarkEnd w:id="3"/>
      <w:r w:rsidRPr="00EE2A7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 w:rsidP="00EE2A7E">
            <w:pPr>
              <w:pStyle w:val="BodyText"/>
            </w:pPr>
            <w:r w:rsidRPr="00EE2A7E">
              <w:t>Not applicable.</w:t>
            </w:r>
          </w:p>
        </w:tc>
      </w:tr>
    </w:tbl>
    <w:p w:rsidR="00000000" w:rsidRPr="00EE2A7E" w:rsidP="00EE2A7E">
      <w:pPr>
        <w:pStyle w:val="NoPaddingFontSize1"/>
      </w:pPr>
    </w:p>
    <w:p w:rsidR="00000000" w:rsidRPr="00EE2A7E" w:rsidP="00EE2A7E">
      <w:pPr>
        <w:pStyle w:val="AllowPageBreak"/>
      </w:pPr>
    </w:p>
    <w:p w:rsidR="00000000" w:rsidRPr="00EE2A7E" w:rsidP="00EE2A7E">
      <w:pPr>
        <w:pStyle w:val="Heading1"/>
      </w:pPr>
      <w:bookmarkStart w:id="4" w:name="O_1268692"/>
      <w:bookmarkEnd w:id="4"/>
      <w:r w:rsidRPr="00EE2A7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 w:rsidP="00EE2A7E">
            <w:pPr>
              <w:pStyle w:val="BodyText"/>
            </w:pPr>
            <w:r w:rsidRPr="00EE2A7E">
              <w:t>X – Logistics</w:t>
            </w:r>
          </w:p>
        </w:tc>
      </w:tr>
    </w:tbl>
    <w:p w:rsidR="00000000" w:rsidRPr="00EE2A7E" w:rsidP="00EE2A7E">
      <w:pPr>
        <w:pStyle w:val="NoPaddingFontSize1"/>
      </w:pPr>
    </w:p>
    <w:p w:rsidR="00000000" w:rsidRPr="00EE2A7E" w:rsidP="00EE2A7E">
      <w:pPr>
        <w:pStyle w:val="AllowPageBreak"/>
      </w:pPr>
    </w:p>
    <w:p w:rsidR="00000000" w:rsidRPr="00EE2A7E" w:rsidP="00EE2A7E">
      <w:pPr>
        <w:pStyle w:val="Heading1"/>
      </w:pPr>
      <w:bookmarkStart w:id="5" w:name="O_1268693"/>
      <w:bookmarkEnd w:id="5"/>
      <w:r w:rsidRPr="00EE2A7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 w:rsidP="00EE2A7E">
            <w:pPr>
              <w:pStyle w:val="BodyText"/>
            </w:pPr>
            <w:r w:rsidRPr="00EE2A7E">
              <w:t>Not applicable.</w:t>
            </w:r>
          </w:p>
        </w:tc>
      </w:tr>
    </w:tbl>
    <w:p w:rsidR="00000000" w:rsidRPr="00EE2A7E" w:rsidP="00EE2A7E">
      <w:pPr>
        <w:pStyle w:val="NoPaddingFontSize1"/>
      </w:pPr>
    </w:p>
    <w:p w:rsidR="00000000" w:rsidRPr="00EE2A7E" w:rsidP="00EE2A7E">
      <w:pPr>
        <w:pStyle w:val="AllowPageBreak"/>
      </w:pPr>
    </w:p>
    <w:p w:rsidR="00000000" w:rsidRPr="00EE2A7E" w:rsidP="00EE2A7E">
      <w:pPr>
        <w:pStyle w:val="Heading1"/>
      </w:pPr>
      <w:bookmarkStart w:id="6" w:name="O_1268694"/>
      <w:bookmarkEnd w:id="6"/>
      <w:r w:rsidRPr="00EE2A7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05"/>
        <w:gridCol w:w="3227"/>
        <w:gridCol w:w="1371"/>
        <w:gridCol w:w="4194"/>
      </w:tblGrid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t>Elements describe the essential outcomes.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t>Performance criteria describe the performance needed to demonstrate achievement of the element.</w:t>
            </w:r>
          </w:p>
        </w:tc>
      </w:tr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 w:rsidP="00EE2A7E">
            <w:pPr>
              <w:pStyle w:val="BodyText"/>
            </w:pPr>
            <w:r w:rsidRPr="00EE2A7E">
              <w:rPr>
                <w:rStyle w:val="SpecialBold"/>
              </w:rPr>
              <w:t>1</w:t>
            </w:r>
          </w:p>
        </w:tc>
        <w:tc>
          <w:tcPr>
            <w:tcW w:w="32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 w:rsidP="00EE2A7E">
            <w:pPr>
              <w:pStyle w:val="BodyText"/>
            </w:pPr>
            <w:r w:rsidRPr="00EE2A7E">
              <w:rPr>
                <w:rStyle w:val="SpecialBold"/>
              </w:rPr>
              <w:t xml:space="preserve">Analyse materiel logistics </w:t>
            </w:r>
            <w:r w:rsidRPr="00EE2A7E">
              <w:rPr>
                <w:rStyle w:val="SpecialBold"/>
              </w:rPr>
              <w:t>environment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rPr>
                <w:rStyle w:val="SpecialBold"/>
              </w:rPr>
              <w:t>1.1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t xml:space="preserve">Operation of the materiel logistics environment is analysed, and key factors </w:t>
            </w:r>
            <w:r w:rsidRPr="00EE2A7E">
              <w:t>and issues are identified</w:t>
            </w:r>
          </w:p>
        </w:tc>
      </w:tr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>
            <w:pPr>
              <w:pStyle w:val="BodyText"/>
              <w:keepLines w:val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rPr>
                <w:rStyle w:val="SpecialBold"/>
              </w:rPr>
              <w:t>1.2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t>External and internal factors likely to impact on materiel logistics needs and capabilities are continually monitored and analysed</w:t>
            </w:r>
          </w:p>
        </w:tc>
      </w:tr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>
            <w:pPr>
              <w:pStyle w:val="BodyText"/>
              <w:keepLines w:val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rPr>
                <w:rStyle w:val="SpecialBold"/>
              </w:rPr>
              <w:t>1.3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t>Stakeho</w:t>
            </w:r>
            <w:r w:rsidRPr="00EE2A7E">
              <w:t>lders are identified and consulted on materiel and materiel systems needs and capabilities, in accordance with organisational policy and procedures</w:t>
            </w:r>
          </w:p>
        </w:tc>
      </w:tr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>
            <w:pPr>
              <w:pStyle w:val="BodyText"/>
              <w:keepLines w:val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rPr>
                <w:rStyle w:val="SpecialBold"/>
              </w:rPr>
              <w:t>1.4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t>Legislation and organisational policy and procedures that may impact on integrated logistics activities are identified and analysed</w:t>
            </w:r>
          </w:p>
        </w:tc>
      </w:tr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 w:rsidP="00EE2A7E">
            <w:pPr>
              <w:pStyle w:val="BodyText"/>
            </w:pPr>
            <w:r w:rsidRPr="00EE2A7E">
              <w:rPr>
                <w:rStyle w:val="SpecialBold"/>
              </w:rPr>
              <w:t>2</w:t>
            </w:r>
          </w:p>
        </w:tc>
        <w:tc>
          <w:tcPr>
            <w:tcW w:w="32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 w:rsidP="00EE2A7E">
            <w:pPr>
              <w:pStyle w:val="BodyText"/>
            </w:pPr>
            <w:r w:rsidRPr="00EE2A7E">
              <w:rPr>
                <w:rStyle w:val="SpecialBold"/>
              </w:rPr>
              <w:t>Develop materiel logistics processes and procedures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rPr>
                <w:rStyle w:val="SpecialBold"/>
              </w:rPr>
              <w:t>2.1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t>Consultation and negotiation with stakeholders is conducted in ac</w:t>
            </w:r>
            <w:r w:rsidRPr="00EE2A7E">
              <w:t>cordance with organisational policy and procedures</w:t>
            </w:r>
          </w:p>
        </w:tc>
      </w:tr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>
            <w:pPr>
              <w:pStyle w:val="BodyText"/>
              <w:keepLines w:val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rPr>
                <w:rStyle w:val="SpecialBold"/>
              </w:rPr>
              <w:t>2.2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t>Materiel logistics processes for materiel and materiel systems are developed and documented in accordance with organisational policy and procedures</w:t>
            </w:r>
          </w:p>
        </w:tc>
      </w:tr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>
            <w:pPr>
              <w:pStyle w:val="BodyText"/>
              <w:keepLines w:val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rPr>
                <w:rStyle w:val="SpecialBold"/>
              </w:rPr>
              <w:t>2.3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t>Costing analysis of options is undertaken and documented in accordance with organisational policy and procedures</w:t>
            </w:r>
          </w:p>
        </w:tc>
      </w:tr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>
            <w:pPr>
              <w:pStyle w:val="BodyText"/>
              <w:keepLines w:val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rPr>
                <w:rStyle w:val="SpecialBold"/>
              </w:rPr>
              <w:t>2.4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t>Procedures required to support materiel logistics processes are identified, developed and documented</w:t>
            </w:r>
          </w:p>
        </w:tc>
      </w:tr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>
            <w:pPr>
              <w:pStyle w:val="BodyText"/>
              <w:keepLines w:val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rPr>
                <w:rStyle w:val="SpecialBold"/>
              </w:rPr>
              <w:t>2.5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t>Processes and procedures are</w:t>
            </w:r>
            <w:r w:rsidRPr="00EE2A7E">
              <w:t xml:space="preserve"> approved in accordance with organisational policy and procedures</w:t>
            </w:r>
          </w:p>
        </w:tc>
      </w:tr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 w:rsidP="00EE2A7E">
            <w:pPr>
              <w:pStyle w:val="BodyText"/>
            </w:pPr>
            <w:r w:rsidRPr="00EE2A7E">
              <w:rPr>
                <w:rStyle w:val="SpecialBold"/>
              </w:rPr>
              <w:t>3</w:t>
            </w:r>
          </w:p>
        </w:tc>
        <w:tc>
          <w:tcPr>
            <w:tcW w:w="32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 w:rsidP="00EE2A7E">
            <w:pPr>
              <w:pStyle w:val="BodyText"/>
            </w:pPr>
            <w:r w:rsidRPr="00EE2A7E">
              <w:rPr>
                <w:rStyle w:val="SpecialBold"/>
              </w:rPr>
              <w:t>Communicate materiel logistics processes and procedures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rPr>
                <w:rStyle w:val="SpecialBold"/>
              </w:rPr>
              <w:t>3.1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t>Stakeholders are fully informed of outcomes, in accordance with organisational policy and procedures</w:t>
            </w:r>
          </w:p>
        </w:tc>
      </w:tr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>
            <w:pPr>
              <w:pStyle w:val="BodyText"/>
              <w:keepLines w:val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rPr>
                <w:rStyle w:val="SpecialBold"/>
              </w:rPr>
              <w:t>3.2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t>Materiel logistics processes and procedures are promulgated in accordance with organisational policy and procedures</w:t>
            </w:r>
          </w:p>
        </w:tc>
      </w:tr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>
            <w:pPr>
              <w:pStyle w:val="BodyText"/>
              <w:keepLines w:val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rPr>
                <w:rStyle w:val="SpecialBold"/>
              </w:rPr>
              <w:t>3.3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t>Policy and procedures are promoted in accordance with relevant organisational policy and procedures</w:t>
            </w:r>
          </w:p>
        </w:tc>
      </w:tr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 w:rsidP="00EE2A7E">
            <w:pPr>
              <w:pStyle w:val="BodyText"/>
            </w:pPr>
            <w:r w:rsidRPr="00EE2A7E">
              <w:rPr>
                <w:rStyle w:val="SpecialBold"/>
              </w:rPr>
              <w:t>4</w:t>
            </w:r>
          </w:p>
        </w:tc>
        <w:tc>
          <w:tcPr>
            <w:tcW w:w="32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 w:rsidP="00EE2A7E">
            <w:pPr>
              <w:pStyle w:val="BodyText"/>
            </w:pPr>
            <w:r w:rsidRPr="00EE2A7E">
              <w:rPr>
                <w:rStyle w:val="SpecialBold"/>
              </w:rPr>
              <w:t>Review materiel logistics proc</w:t>
            </w:r>
            <w:r w:rsidRPr="00EE2A7E">
              <w:rPr>
                <w:rStyle w:val="SpecialBold"/>
              </w:rPr>
              <w:t>esses and procedures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rPr>
                <w:rStyle w:val="SpecialBold"/>
              </w:rPr>
              <w:t>4.1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t>Performance systems are monitored and analysed to assess impact of processes and procedures in achieving plans and targets</w:t>
            </w:r>
          </w:p>
        </w:tc>
      </w:tr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>
            <w:pPr>
              <w:pStyle w:val="BodyText"/>
              <w:keepLines w:val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rPr>
                <w:rStyle w:val="SpecialBold"/>
              </w:rPr>
              <w:t>4.2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t>Materiel logistics processes and procedures are reviewed in accordance with organisational policy and procedures</w:t>
            </w:r>
          </w:p>
        </w:tc>
      </w:tr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>
            <w:pPr>
              <w:pStyle w:val="BodyText"/>
              <w:keepLines w:val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rPr>
                <w:rStyle w:val="SpecialBold"/>
              </w:rPr>
              <w:t>4.3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t>Required changes to materiel logistics processes and procedures are identified and prepared in accordance with relevant organisational p</w:t>
            </w:r>
            <w:r w:rsidRPr="00EE2A7E">
              <w:t>olicy and procedures</w:t>
            </w:r>
          </w:p>
        </w:tc>
      </w:tr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>
            <w:pPr>
              <w:pStyle w:val="BodyText"/>
              <w:keepLines w:val="0"/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7E">
            <w:pPr>
              <w:pStyle w:val="BodyText"/>
              <w:rPr>
                <w:lang w:val="en-NZ"/>
              </w:rPr>
            </w:pPr>
            <w:r w:rsidRPr="00EE2A7E">
              <w:rPr>
                <w:rStyle w:val="SpecialBold"/>
              </w:rPr>
              <w:t>4.4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 w:rsidP="00EE2A7E">
            <w:pPr>
              <w:pStyle w:val="BodyText"/>
            </w:pPr>
            <w:r w:rsidRPr="00EE2A7E">
              <w:t>Amendments to materiel logistics policy and procedures are documented and promulgated to relevant stakeholders in accordance with relevant organisational policy and procedures</w:t>
            </w:r>
          </w:p>
        </w:tc>
      </w:tr>
    </w:tbl>
    <w:p w:rsidR="00000000" w:rsidRPr="00EE2A7E" w:rsidP="00EE2A7E">
      <w:pPr>
        <w:pStyle w:val="NoPaddingFontSize1"/>
      </w:pPr>
    </w:p>
    <w:p w:rsidR="00000000" w:rsidRPr="00EE2A7E" w:rsidP="00EE2A7E">
      <w:pPr>
        <w:pStyle w:val="AllowPageBreak"/>
      </w:pPr>
    </w:p>
    <w:p w:rsidR="00000000" w:rsidRPr="00EE2A7E" w:rsidP="00EE2A7E">
      <w:pPr>
        <w:pStyle w:val="Heading1"/>
      </w:pPr>
      <w:bookmarkStart w:id="7" w:name="O_1268695"/>
      <w:bookmarkEnd w:id="7"/>
      <w:r w:rsidRPr="00EE2A7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 w:rsidP="00EE2A7E">
            <w:pPr>
              <w:pStyle w:val="BodyText"/>
            </w:pPr>
            <w:r w:rsidRPr="00EE2A7E">
              <w:t>Foundation skills essential to performance are explicit in the performance criteria of this unit of competency.</w:t>
            </w:r>
          </w:p>
        </w:tc>
      </w:tr>
    </w:tbl>
    <w:p w:rsidR="00000000" w:rsidRPr="00EE2A7E" w:rsidP="00EE2A7E">
      <w:pPr>
        <w:pStyle w:val="NoPaddingFontSize1"/>
      </w:pPr>
    </w:p>
    <w:p w:rsidR="00000000" w:rsidRPr="00EE2A7E" w:rsidP="00EE2A7E">
      <w:pPr>
        <w:pStyle w:val="AllowPageBreak"/>
      </w:pPr>
    </w:p>
    <w:p w:rsidR="00000000" w:rsidRPr="00EE2A7E" w:rsidP="00EE2A7E">
      <w:pPr>
        <w:pStyle w:val="Heading1"/>
      </w:pPr>
      <w:bookmarkStart w:id="8" w:name="O_1268696"/>
      <w:bookmarkEnd w:id="8"/>
      <w:r w:rsidRPr="00EE2A7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 w:rsidP="00EE2A7E">
            <w:pPr>
              <w:pStyle w:val="BodyText"/>
            </w:pPr>
            <w:r w:rsidRPr="00EE2A7E">
              <w:t>Range is restricted to essential operating conditions and any other variables essential to the work env</w:t>
            </w:r>
            <w:r w:rsidRPr="00EE2A7E">
              <w:t>ironment.</w:t>
            </w:r>
          </w:p>
          <w:p w:rsidR="00000000" w:rsidRPr="00EE2A7E" w:rsidP="00EE2A7E">
            <w:pPr>
              <w:pStyle w:val="BodyText"/>
            </w:pPr>
            <w:r w:rsidRPr="00EE2A7E">
              <w:t>Non-essential conditions can be found in the Companion Volume Implementation Guide.</w:t>
            </w:r>
          </w:p>
        </w:tc>
      </w:tr>
    </w:tbl>
    <w:p w:rsidR="00000000" w:rsidRPr="00EE2A7E" w:rsidP="00EE2A7E">
      <w:pPr>
        <w:pStyle w:val="NoPaddingFontSize1"/>
      </w:pPr>
    </w:p>
    <w:p w:rsidR="00000000" w:rsidRPr="00EE2A7E" w:rsidP="00EE2A7E">
      <w:pPr>
        <w:pStyle w:val="AllowPageBreak"/>
      </w:pPr>
    </w:p>
    <w:p w:rsidR="00000000" w:rsidRPr="00EE2A7E" w:rsidP="00EE2A7E">
      <w:pPr>
        <w:pStyle w:val="Heading1"/>
      </w:pPr>
      <w:bookmarkStart w:id="9" w:name="O_1268697"/>
      <w:bookmarkEnd w:id="9"/>
      <w:r w:rsidRPr="00EE2A7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A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7E" w:rsidP="00EE2A7E">
            <w:pPr>
              <w:pStyle w:val="BodyText"/>
            </w:pPr>
            <w:r w:rsidRPr="00EE2A7E">
              <w:t>This unit replaces but is not equivalent to TLIX5004 Develop integrated logistics support processes and procedures.</w:t>
            </w:r>
          </w:p>
          <w:p w:rsidR="00000000" w:rsidRPr="00EE2A7E" w:rsidP="00EE2A7E">
            <w:pPr>
              <w:pStyle w:val="BodyText"/>
            </w:pPr>
            <w:r w:rsidRPr="00EE2A7E">
              <w:t>This unit replaces but is not equivalent to TLIX5013 Develop materiel sustainment processes and procedures.</w:t>
            </w:r>
          </w:p>
        </w:tc>
      </w:tr>
    </w:tbl>
    <w:p w:rsidR="00000000" w:rsidRPr="00EE2A7E" w:rsidP="00EE2A7E">
      <w:pPr>
        <w:pStyle w:val="NoPaddingFontSize1"/>
      </w:pPr>
    </w:p>
    <w:p w:rsidR="00000000" w:rsidRPr="00EE2A7E" w:rsidP="00EE2A7E">
      <w:pPr>
        <w:pStyle w:val="AllowPageBreak"/>
      </w:pPr>
    </w:p>
    <w:p w:rsidR="00000000" w:rsidRPr="00EE2A7E" w:rsidP="00EE2A7E">
      <w:pPr>
        <w:pStyle w:val="Heading1"/>
      </w:pPr>
      <w:bookmarkStart w:id="10" w:name="O_1268704"/>
      <w:bookmarkEnd w:id="10"/>
      <w:r w:rsidRPr="00EE2A7E">
        <w:t>Links</w:t>
      </w:r>
    </w:p>
    <w:p w:rsidR="00000000" w:rsidRPr="00EE2A7E" w:rsidP="00490282">
      <w:pPr>
        <w:pStyle w:val="BodyText"/>
      </w:pPr>
      <w:r w:rsidRPr="00EE2A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2020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E2A7E" w:rsidP="00EE2A7E"/>
    <w:sectPr w:rsidSect="00EE2A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7E" w:rsidRPr="00490282" w:rsidP="004902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282" w:rsidP="00EE2A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0282" w:rsidP="00EE2A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90282" w:rsidP="00EE2A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2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A7E" w:rsidRPr="00490282" w:rsidP="004902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282" w:rsidRPr="002D2AF8" w:rsidP="00EE2A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TLIX0061 Develop materiel logistics processes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90282" w:rsidP="00EE2A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A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A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A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A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A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A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A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A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A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A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A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A7E"/>
  </w:style>
  <w:style w:type="character" w:customStyle="1" w:styleId="Heading1Char">
    <w:name w:val="Heading 1 Char"/>
    <w:basedOn w:val="DefaultParagraphFont"/>
    <w:link w:val="Heading1"/>
    <w:rsid w:val="00EE2A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A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A7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E2A7E"/>
    <w:rPr>
      <w:b/>
      <w:spacing w:val="0"/>
    </w:rPr>
  </w:style>
  <w:style w:type="paragraph" w:customStyle="1" w:styleId="SuperHeading">
    <w:name w:val="SuperHeading"/>
    <w:basedOn w:val="Normal"/>
    <w:rsid w:val="00EE2A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A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2A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A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A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A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A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A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A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A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A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A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A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A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A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A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A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2A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2A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2A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A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A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2A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2A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A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A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A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A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A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A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A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A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2A7E"/>
    <w:rPr>
      <w:i/>
    </w:rPr>
  </w:style>
  <w:style w:type="paragraph" w:styleId="Caption">
    <w:name w:val="caption"/>
    <w:basedOn w:val="BodyText"/>
    <w:next w:val="Normal"/>
    <w:qFormat/>
    <w:rsid w:val="00EE2A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A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A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A7E"/>
  </w:style>
  <w:style w:type="paragraph" w:styleId="TableofFigures">
    <w:name w:val="table of figures"/>
    <w:basedOn w:val="Normal"/>
    <w:next w:val="Normal"/>
    <w:semiHidden/>
    <w:rsid w:val="00EE2A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A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2A7E"/>
    <w:rPr>
      <w:rFonts w:ascii="Wingdings" w:hAnsi="Wingdings"/>
    </w:rPr>
  </w:style>
  <w:style w:type="paragraph" w:customStyle="1" w:styleId="TableHeading">
    <w:name w:val="Table Heading"/>
    <w:basedOn w:val="HeadingBase"/>
    <w:rsid w:val="00EE2A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A7E"/>
    <w:rPr>
      <w:color w:val="0033CC"/>
      <w:u w:val="none"/>
    </w:rPr>
  </w:style>
  <w:style w:type="paragraph" w:customStyle="1" w:styleId="BodyTextRight">
    <w:name w:val="Body Text Right"/>
    <w:basedOn w:val="BodyText"/>
    <w:rsid w:val="00EE2A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A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A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A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A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A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A7E"/>
    <w:rPr>
      <w:sz w:val="32"/>
    </w:rPr>
  </w:style>
  <w:style w:type="paragraph" w:customStyle="1" w:styleId="HeadingProcedure">
    <w:name w:val="Heading Procedure"/>
    <w:basedOn w:val="HeadingBase"/>
    <w:next w:val="Normal"/>
    <w:rsid w:val="00EE2A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A7E"/>
    <w:pPr>
      <w:spacing w:before="60" w:after="60"/>
    </w:pPr>
  </w:style>
  <w:style w:type="paragraph" w:styleId="ListContinue">
    <w:name w:val="List Continue"/>
    <w:basedOn w:val="List"/>
    <w:rsid w:val="00EE2A7E"/>
    <w:pPr>
      <w:ind w:firstLine="0"/>
    </w:pPr>
  </w:style>
  <w:style w:type="paragraph" w:customStyle="1" w:styleId="ListNote">
    <w:name w:val="List Note"/>
    <w:basedOn w:val="List"/>
    <w:rsid w:val="00EE2A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A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A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A7E"/>
    <w:rPr>
      <w:rFonts w:ascii="Courier New" w:hAnsi="Courier New"/>
    </w:rPr>
  </w:style>
  <w:style w:type="paragraph" w:customStyle="1" w:styleId="NoteBullet">
    <w:name w:val="Note Bullet"/>
    <w:basedOn w:val="Note"/>
    <w:rsid w:val="00EE2A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A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A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A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A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2A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A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A7E"/>
    <w:rPr>
      <w:b/>
      <w:smallCaps/>
    </w:rPr>
  </w:style>
  <w:style w:type="paragraph" w:customStyle="1" w:styleId="TableListNumber">
    <w:name w:val="Table List Number"/>
    <w:basedOn w:val="ListNumber"/>
    <w:rsid w:val="00EE2A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A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A7E"/>
    <w:pPr>
      <w:numPr>
        <w:numId w:val="7"/>
      </w:numPr>
    </w:pPr>
  </w:style>
  <w:style w:type="paragraph" w:customStyle="1" w:styleId="ListAlpha2">
    <w:name w:val="List Alpha 2"/>
    <w:basedOn w:val="List2"/>
    <w:rsid w:val="00EE2A7E"/>
    <w:pPr>
      <w:numPr>
        <w:numId w:val="6"/>
      </w:numPr>
    </w:pPr>
  </w:style>
  <w:style w:type="paragraph" w:styleId="List2">
    <w:name w:val="List 2"/>
    <w:basedOn w:val="BodyText"/>
    <w:rsid w:val="00EE2A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A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A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A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A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A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2A7E"/>
    <w:pPr>
      <w:numPr>
        <w:numId w:val="2"/>
      </w:numPr>
    </w:pPr>
  </w:style>
  <w:style w:type="paragraph" w:styleId="ListContinue2">
    <w:name w:val="List Continue 2"/>
    <w:basedOn w:val="List2"/>
    <w:rsid w:val="00EE2A7E"/>
    <w:pPr>
      <w:ind w:firstLine="0"/>
    </w:pPr>
  </w:style>
  <w:style w:type="paragraph" w:styleId="ListContinue3">
    <w:name w:val="List Continue 3"/>
    <w:basedOn w:val="List3"/>
    <w:rsid w:val="00EE2A7E"/>
    <w:pPr>
      <w:ind w:left="1021" w:firstLine="0"/>
    </w:pPr>
  </w:style>
  <w:style w:type="paragraph" w:styleId="ListContinue4">
    <w:name w:val="List Continue 4"/>
    <w:basedOn w:val="List4"/>
    <w:rsid w:val="00EE2A7E"/>
    <w:pPr>
      <w:ind w:firstLine="0"/>
    </w:pPr>
  </w:style>
  <w:style w:type="paragraph" w:styleId="ListContinue5">
    <w:name w:val="List Continue 5"/>
    <w:basedOn w:val="List5"/>
    <w:rsid w:val="00EE2A7E"/>
    <w:pPr>
      <w:ind w:firstLine="0"/>
    </w:pPr>
  </w:style>
  <w:style w:type="paragraph" w:styleId="ListNumber3">
    <w:name w:val="List Number 3"/>
    <w:basedOn w:val="List3"/>
    <w:rsid w:val="00EE2A7E"/>
    <w:pPr>
      <w:numPr>
        <w:numId w:val="3"/>
      </w:numPr>
    </w:pPr>
  </w:style>
  <w:style w:type="paragraph" w:styleId="ListNumber4">
    <w:name w:val="List Number 4"/>
    <w:basedOn w:val="List4"/>
    <w:rsid w:val="00EE2A7E"/>
    <w:pPr>
      <w:numPr>
        <w:numId w:val="4"/>
      </w:numPr>
    </w:pPr>
  </w:style>
  <w:style w:type="paragraph" w:styleId="ListNumber5">
    <w:name w:val="List Number 5"/>
    <w:basedOn w:val="List5"/>
    <w:rsid w:val="00EE2A7E"/>
    <w:pPr>
      <w:numPr>
        <w:numId w:val="5"/>
      </w:numPr>
    </w:pPr>
  </w:style>
  <w:style w:type="paragraph" w:styleId="BlockText">
    <w:name w:val="Block Text"/>
    <w:basedOn w:val="Normal"/>
    <w:rsid w:val="00EE2A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A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A7E"/>
    <w:rPr>
      <w:sz w:val="16"/>
      <w:vertAlign w:val="superscript"/>
    </w:rPr>
  </w:style>
  <w:style w:type="character" w:customStyle="1" w:styleId="Symbols">
    <w:name w:val="Symbols"/>
    <w:basedOn w:val="DefaultParagraphFont"/>
    <w:rsid w:val="00EE2A7E"/>
    <w:rPr>
      <w:rFonts w:ascii="Symbol" w:hAnsi="Symbol"/>
    </w:rPr>
  </w:style>
  <w:style w:type="character" w:customStyle="1" w:styleId="MenuOptions">
    <w:name w:val="Menu Options"/>
    <w:basedOn w:val="DefaultParagraphFont"/>
    <w:rsid w:val="00EE2A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A7E"/>
    <w:rPr>
      <w:b/>
    </w:rPr>
  </w:style>
  <w:style w:type="character" w:customStyle="1" w:styleId="Underlined">
    <w:name w:val="Underlined"/>
    <w:basedOn w:val="DefaultParagraphFont"/>
    <w:rsid w:val="00EE2A7E"/>
    <w:rPr>
      <w:u w:val="single"/>
    </w:rPr>
  </w:style>
  <w:style w:type="paragraph" w:customStyle="1" w:styleId="TableBodyTextRight">
    <w:name w:val="Table Body Text Right"/>
    <w:basedOn w:val="TableBodyText"/>
    <w:rsid w:val="00EE2A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A7E"/>
    <w:rPr>
      <w:sz w:val="18"/>
    </w:rPr>
  </w:style>
  <w:style w:type="paragraph" w:customStyle="1" w:styleId="BodySmallRight">
    <w:name w:val="Body Small Right"/>
    <w:basedOn w:val="BodyTextRight"/>
    <w:rsid w:val="00EE2A7E"/>
    <w:rPr>
      <w:sz w:val="18"/>
      <w:szCs w:val="18"/>
    </w:rPr>
  </w:style>
  <w:style w:type="paragraph" w:customStyle="1" w:styleId="MarginEdition">
    <w:name w:val="Margin Edition"/>
    <w:basedOn w:val="MarginNote"/>
    <w:rsid w:val="00EE2A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A7E"/>
    <w:rPr>
      <w:sz w:val="2"/>
      <w:szCs w:val="2"/>
    </w:rPr>
  </w:style>
  <w:style w:type="character" w:customStyle="1" w:styleId="Small">
    <w:name w:val="Small"/>
    <w:basedOn w:val="DefaultParagraphFont"/>
    <w:rsid w:val="00EE2A7E"/>
    <w:rPr>
      <w:sz w:val="16"/>
    </w:rPr>
  </w:style>
  <w:style w:type="paragraph" w:customStyle="1" w:styleId="WideTable">
    <w:name w:val="Wide Table"/>
    <w:basedOn w:val="Normal"/>
    <w:rsid w:val="00EE2A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A7E"/>
  </w:style>
  <w:style w:type="paragraph" w:styleId="Quote">
    <w:name w:val="Quote"/>
    <w:basedOn w:val="Heading1"/>
    <w:link w:val="QuoteChar"/>
    <w:qFormat/>
    <w:rsid w:val="00EE2A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A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A7E"/>
    <w:pPr>
      <w:pageBreakBefore/>
    </w:pPr>
  </w:style>
  <w:style w:type="paragraph" w:customStyle="1" w:styleId="Border">
    <w:name w:val="Border"/>
    <w:basedOn w:val="Normal"/>
    <w:qFormat/>
    <w:rsid w:val="00EE2A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A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A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A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A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A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A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A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A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A7E"/>
    <w:rPr>
      <w:u w:val="single"/>
    </w:rPr>
  </w:style>
  <w:style w:type="character" w:customStyle="1" w:styleId="BoldandItalics">
    <w:name w:val="Bold and Italics"/>
    <w:qFormat/>
    <w:rsid w:val="00EE2A7E"/>
    <w:rPr>
      <w:b/>
      <w:i/>
      <w:u w:val="none"/>
    </w:rPr>
  </w:style>
  <w:style w:type="paragraph" w:styleId="BalloonText">
    <w:name w:val="Balloon Text"/>
    <w:basedOn w:val="Normal"/>
    <w:link w:val="BalloonTextChar"/>
    <w:rsid w:val="00EE2A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A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A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A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A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A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A7E"/>
    <w:pPr>
      <w:spacing w:before="0" w:after="0"/>
    </w:pPr>
  </w:style>
  <w:style w:type="paragraph" w:customStyle="1" w:styleId="BodyTextBold">
    <w:name w:val="Body Text Bold"/>
    <w:basedOn w:val="BodyText"/>
    <w:qFormat/>
    <w:rsid w:val="00EE2A7E"/>
    <w:rPr>
      <w:b/>
    </w:rPr>
  </w:style>
  <w:style w:type="character" w:styleId="Hyperlink">
    <w:name w:val="Hyperlink"/>
    <w:basedOn w:val="DefaultParagraphFont"/>
    <w:uiPriority w:val="99"/>
    <w:unhideWhenUsed/>
    <w:rsid w:val="004902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624</Words>
  <Characters>4107</Characters>
  <Application>Microsoft Office Word</Application>
  <DocSecurity>0</DocSecurity>
  <Lines>186</Lines>
  <Paragraphs>84</Paragraphs>
  <ScaleCrop>false</ScaleCrop>
  <Company>Author-it Software Corporation Ltd.</Company>
  <LinksUpToDate>false</LinksUpToDate>
  <CharactersWithSpaces>4647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TLIX0061 Develop materiel logistics processes and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2024-07-12T07:22:00Z</dcterms:created>
  <dcterms:modified xsi:type="dcterms:W3CDTF">2024-07-12T07:22:00Z</dcterms:modified>
</cp:coreProperties>
</file>