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220" w:rsidP="00735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TLIX0059 Contribute to materiel logistics strategies</w:t>
      </w:r>
      <w:r>
        <w:fldChar w:fldCharType="end"/>
      </w:r>
    </w:p>
    <w:p w:rsidR="00735220" w:rsidP="00735220">
      <w:pPr>
        <w:pStyle w:val="Version"/>
        <w:sectPr w:rsidSect="00C73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939" w:rsidP="00C73939">
      <w:pPr>
        <w:pStyle w:val="SuperHeading"/>
      </w:pPr>
      <w:r w:rsidRPr="00C73939">
        <w:t>TLIX0059 Contribute to materiel logistics strategies</w:t>
      </w:r>
    </w:p>
    <w:p w:rsidR="00000000" w:rsidRPr="00C73939" w:rsidP="00C73939">
      <w:pPr>
        <w:pStyle w:val="Heading1"/>
      </w:pPr>
      <w:bookmarkStart w:id="1" w:name="O_1268530"/>
      <w:bookmarkEnd w:id="1"/>
      <w:r w:rsidRPr="00C739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rPr>
                <w:rStyle w:val="SpecialBold"/>
              </w:rPr>
              <w:t>Release 1.</w:t>
            </w:r>
            <w:r w:rsidRPr="00C73939">
              <w:t xml:space="preserve"> This is the first release of this unit of competency in the TLI Transport and Logistics Training Package.</w:t>
            </w:r>
          </w:p>
        </w:tc>
      </w:tr>
    </w:tbl>
    <w:p w:rsidR="00000000" w:rsidRPr="00C73939" w:rsidP="00C73939">
      <w:pPr>
        <w:pStyle w:val="NoPaddingFontSize1"/>
      </w:pPr>
    </w:p>
    <w:p w:rsidR="00000000" w:rsidRPr="00C73939" w:rsidP="00C73939">
      <w:pPr>
        <w:pStyle w:val="AllowPageBreak"/>
      </w:pPr>
    </w:p>
    <w:p w:rsidR="00000000" w:rsidRPr="00C73939" w:rsidP="00C73939">
      <w:pPr>
        <w:pStyle w:val="Heading1"/>
      </w:pPr>
      <w:bookmarkStart w:id="2" w:name="O_1268531"/>
      <w:bookmarkEnd w:id="2"/>
      <w:r w:rsidRPr="00C739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t xml:space="preserve">This unit involves the skills and knowledge required to contribute </w:t>
            </w:r>
            <w:r w:rsidRPr="00C73939">
              <w:t xml:space="preserve">to materiel logistics strategies. </w:t>
            </w:r>
          </w:p>
          <w:p w:rsidR="00000000" w:rsidRPr="00C73939" w:rsidP="00C73939">
            <w:pPr>
              <w:pStyle w:val="BodyText"/>
            </w:pPr>
            <w:r w:rsidRPr="00C73939">
              <w:t>It includes analysing the materiel logistics environment, contributing and establishing priorities for materiel logistics strategies. It also includes reviewing strategic performance.</w:t>
            </w:r>
          </w:p>
          <w:p w:rsidR="00000000" w:rsidRPr="00C73939" w:rsidP="00C73939">
            <w:pPr>
              <w:pStyle w:val="BodyText"/>
            </w:pPr>
            <w:r w:rsidRPr="00C73939">
              <w:t>This unit was developed for logistics</w:t>
            </w:r>
            <w:r w:rsidRPr="00C73939">
              <w:t xml:space="preserve"> specialists working within materiel logistics but is applicable to individuals in broader logistics roles.</w:t>
            </w:r>
          </w:p>
          <w:p w:rsidR="00000000" w:rsidRPr="00C73939" w:rsidP="00C73939">
            <w:pPr>
              <w:pStyle w:val="BodyText"/>
            </w:pPr>
            <w:r w:rsidRPr="00C73939">
              <w:t xml:space="preserve">Individuals work independently or as part of a team under direct or indirect supervision, use discretion and judgement, and take responsibility for </w:t>
            </w:r>
            <w:r w:rsidRPr="00C73939">
              <w:t>the quality of their outputs. All activities are carried out in accordance with relevant organisational policy and procedures.</w:t>
            </w:r>
          </w:p>
          <w:p w:rsidR="00000000" w:rsidRPr="00C73939" w:rsidP="00C73939">
            <w:pPr>
              <w:pStyle w:val="BodyText"/>
            </w:pPr>
            <w:r w:rsidRPr="00C73939">
              <w:t>This unit cannot be used in a qualification in which TLIX0063 Formulate materiel logistics strategies has been used.</w:t>
            </w:r>
          </w:p>
          <w:p w:rsidR="00000000" w:rsidRPr="00C73939" w:rsidP="00C73939">
            <w:pPr>
              <w:pStyle w:val="BodyText"/>
            </w:pPr>
            <w:r w:rsidRPr="00C73939">
              <w:t>No licensing</w:t>
            </w:r>
            <w:r w:rsidRPr="00C73939">
              <w:t>, legislative or certification requirements apply to this unit at the time of publication.</w:t>
            </w:r>
          </w:p>
        </w:tc>
      </w:tr>
    </w:tbl>
    <w:p w:rsidR="00000000" w:rsidRPr="00C73939" w:rsidP="00C73939">
      <w:pPr>
        <w:pStyle w:val="NoPaddingFontSize1"/>
      </w:pPr>
    </w:p>
    <w:p w:rsidR="00000000" w:rsidRPr="00C73939" w:rsidP="00C73939">
      <w:pPr>
        <w:pStyle w:val="AllowPageBreak"/>
      </w:pPr>
    </w:p>
    <w:p w:rsidR="00000000" w:rsidRPr="00C73939" w:rsidP="00C73939">
      <w:pPr>
        <w:pStyle w:val="Heading1"/>
      </w:pPr>
      <w:bookmarkStart w:id="3" w:name="O_1268532"/>
      <w:bookmarkEnd w:id="3"/>
      <w:r w:rsidRPr="00C739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t>Not applicable.</w:t>
            </w:r>
          </w:p>
        </w:tc>
      </w:tr>
    </w:tbl>
    <w:p w:rsidR="00000000" w:rsidRPr="00C73939" w:rsidP="00C73939">
      <w:pPr>
        <w:pStyle w:val="NoPaddingFontSize1"/>
      </w:pPr>
    </w:p>
    <w:p w:rsidR="00000000" w:rsidRPr="00C73939" w:rsidP="00C73939">
      <w:pPr>
        <w:pStyle w:val="AllowPageBreak"/>
      </w:pPr>
    </w:p>
    <w:p w:rsidR="00000000" w:rsidRPr="00C73939" w:rsidP="00C73939">
      <w:pPr>
        <w:pStyle w:val="Heading1"/>
      </w:pPr>
      <w:bookmarkStart w:id="4" w:name="O_1268533"/>
      <w:bookmarkEnd w:id="4"/>
      <w:r w:rsidRPr="00C739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t>X – Logistics</w:t>
            </w:r>
          </w:p>
        </w:tc>
      </w:tr>
    </w:tbl>
    <w:p w:rsidR="00000000" w:rsidRPr="00C73939" w:rsidP="00C73939">
      <w:pPr>
        <w:pStyle w:val="NoPaddingFontSize1"/>
      </w:pPr>
    </w:p>
    <w:p w:rsidR="00000000" w:rsidRPr="00C73939" w:rsidP="00C73939">
      <w:pPr>
        <w:pStyle w:val="AllowPageBreak"/>
      </w:pPr>
    </w:p>
    <w:p w:rsidR="00000000" w:rsidRPr="00C73939" w:rsidP="00C73939">
      <w:pPr>
        <w:pStyle w:val="Heading1"/>
      </w:pPr>
      <w:bookmarkStart w:id="5" w:name="O_1268534"/>
      <w:bookmarkEnd w:id="5"/>
      <w:r w:rsidRPr="00C739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t>Not applicable.</w:t>
            </w:r>
          </w:p>
        </w:tc>
      </w:tr>
    </w:tbl>
    <w:p w:rsidR="00000000" w:rsidRPr="00C73939" w:rsidP="00C73939">
      <w:pPr>
        <w:pStyle w:val="NoPaddingFontSize1"/>
      </w:pPr>
    </w:p>
    <w:p w:rsidR="00000000" w:rsidRPr="00C73939" w:rsidP="00C73939">
      <w:pPr>
        <w:pStyle w:val="AllowPageBreak"/>
      </w:pPr>
    </w:p>
    <w:p w:rsidR="00000000" w:rsidRPr="00C73939" w:rsidP="00C73939">
      <w:pPr>
        <w:pStyle w:val="Heading1"/>
      </w:pPr>
      <w:bookmarkStart w:id="6" w:name="O_1268535"/>
      <w:bookmarkEnd w:id="6"/>
      <w:r w:rsidRPr="00C7393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35"/>
        <w:gridCol w:w="3014"/>
        <w:gridCol w:w="1408"/>
        <w:gridCol w:w="4341"/>
      </w:tblGrid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Elements describe the essential outcomes.</w:t>
            </w:r>
          </w:p>
        </w:tc>
        <w:tc>
          <w:tcPr>
            <w:tcW w:w="57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Performance criteria describe the performance needed to demonstrate achievement of the element.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rPr>
                <w:rStyle w:val="SpecialBold"/>
              </w:rPr>
              <w:t>1</w:t>
            </w:r>
          </w:p>
        </w:tc>
        <w:tc>
          <w:tcPr>
            <w:tcW w:w="3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rPr>
                <w:rStyle w:val="SpecialBold"/>
              </w:rPr>
              <w:t xml:space="preserve">Analyse the materiel </w:t>
            </w:r>
            <w:r w:rsidRPr="00C73939">
              <w:rPr>
                <w:rStyle w:val="SpecialBold"/>
              </w:rPr>
              <w:t>logistics environment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1.1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 xml:space="preserve">Stakeholders are identified and consulted on materiel needs and capabilities in </w:t>
            </w:r>
            <w:r w:rsidRPr="00C73939">
              <w:t>accordance with organisational policy and procedures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1.2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Effective relationships are developed with stakeholders through consultation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1.3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Legislation and organisational p</w:t>
            </w:r>
            <w:r w:rsidRPr="00C73939">
              <w:t>olicy and procedures that may impact on materiel logistics activity are identified and analysed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1.4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Key factors and issues identified from the operational concept of the materiel and materiel system are reviewed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1.5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Work health and safety (WHS)/occupational health and safety (OHS) requirements, including those contained in organisational procedures, applied throughout the operation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rPr>
                <w:rStyle w:val="SpecialBold"/>
              </w:rPr>
              <w:t>2</w:t>
            </w:r>
          </w:p>
        </w:tc>
        <w:tc>
          <w:tcPr>
            <w:tcW w:w="3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rPr>
                <w:rStyle w:val="SpecialBold"/>
              </w:rPr>
              <w:t>Contribute to materiel logistics strategies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2.1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Organisational objectives are contri</w:t>
            </w:r>
            <w:r w:rsidRPr="00C73939">
              <w:t>buted to in clear and measurable terms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2.2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Strategies are contributed to ensure they reflect key stakeholder capability requirements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2.3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Materiel logistics strategies are introduced, consistent with strategic direction and costing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rPr>
                <w:rStyle w:val="SpecialBold"/>
              </w:rPr>
              <w:t>3</w:t>
            </w:r>
          </w:p>
        </w:tc>
        <w:tc>
          <w:tcPr>
            <w:tcW w:w="3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rPr>
                <w:rStyle w:val="SpecialBold"/>
              </w:rPr>
              <w:t>Establish priorities for materiel logistics strategies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3.1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Strategic priorities are contributed and documented that support organisational materiel logistics objectives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3.2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Strategic priorities are analysed to ensure they reflect key stakeholder capability requirements, in accordance with organisational policy and procedures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3.3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Opportunities for strategic alliances and cooperative ventures are incorporated into strategies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rPr>
                <w:rStyle w:val="SpecialBold"/>
              </w:rPr>
              <w:t>4</w:t>
            </w:r>
          </w:p>
        </w:tc>
        <w:tc>
          <w:tcPr>
            <w:tcW w:w="3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rPr>
                <w:rStyle w:val="SpecialBold"/>
              </w:rPr>
              <w:t>Review strategic performance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4.1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Performance indicators and other criteria for measuring achievement are developed and documented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4.2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 xml:space="preserve">All key aspects of organisational performance are addressed in performance measures, to meet stakeholder interests 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4.3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>Performance data is analysed on a regular and planned basis in terms of indicators and performance standards, in accordance with organisational policy and procedures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4.4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t xml:space="preserve">Strategic performance is reported in accordance with organisational policy </w:t>
            </w:r>
            <w:r w:rsidRPr="00C73939">
              <w:t>and procedures</w:t>
            </w:r>
          </w:p>
        </w:tc>
      </w:tr>
      <w:tr w:rsidTr="00C739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>
            <w:pPr>
              <w:pStyle w:val="BodyText"/>
              <w:keepLines w:val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39">
            <w:pPr>
              <w:pStyle w:val="BodyText"/>
              <w:rPr>
                <w:lang w:val="en-NZ"/>
              </w:rPr>
            </w:pPr>
            <w:r w:rsidRPr="00C73939">
              <w:rPr>
                <w:rStyle w:val="SpecialBold"/>
              </w:rPr>
              <w:t>4.5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t>Objectives and strategies are reviewed, revised and documented as required</w:t>
            </w:r>
          </w:p>
        </w:tc>
      </w:tr>
    </w:tbl>
    <w:p w:rsidR="00000000" w:rsidRPr="00C73939" w:rsidP="00C73939">
      <w:pPr>
        <w:pStyle w:val="NoPaddingFontSize1"/>
      </w:pPr>
    </w:p>
    <w:p w:rsidR="00000000" w:rsidRPr="00C73939" w:rsidP="00C73939">
      <w:pPr>
        <w:pStyle w:val="AllowPageBreak"/>
      </w:pPr>
    </w:p>
    <w:p w:rsidR="00000000" w:rsidRPr="00C73939" w:rsidP="00C73939">
      <w:pPr>
        <w:pStyle w:val="Heading1"/>
      </w:pPr>
      <w:bookmarkStart w:id="7" w:name="O_1268536"/>
      <w:bookmarkEnd w:id="7"/>
      <w:r w:rsidRPr="00C739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t>Foundation skills essential to performance are explicit in the performance criteria of this unit of competency.</w:t>
            </w:r>
          </w:p>
        </w:tc>
      </w:tr>
    </w:tbl>
    <w:p w:rsidR="00000000" w:rsidRPr="00C73939" w:rsidP="00C73939">
      <w:pPr>
        <w:pStyle w:val="NoPaddingFontSize1"/>
      </w:pPr>
    </w:p>
    <w:p w:rsidR="00000000" w:rsidRPr="00C73939" w:rsidP="00C73939">
      <w:pPr>
        <w:pStyle w:val="AllowPageBreak"/>
      </w:pPr>
    </w:p>
    <w:p w:rsidR="00000000" w:rsidRPr="00C73939" w:rsidP="00C73939">
      <w:pPr>
        <w:pStyle w:val="Heading1"/>
      </w:pPr>
      <w:bookmarkStart w:id="8" w:name="O_1268537"/>
      <w:bookmarkEnd w:id="8"/>
      <w:r w:rsidRPr="00C739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t>Range is restricted to essential operating conditions and any other variables essential to the work environment.</w:t>
            </w:r>
          </w:p>
          <w:p w:rsidR="00000000" w:rsidRPr="00C73939" w:rsidP="00C73939">
            <w:pPr>
              <w:pStyle w:val="BodyText"/>
            </w:pPr>
            <w:r w:rsidRPr="00C73939">
              <w:t>Non-essential conditions can be found in the Companion Volume Implementation Guide.</w:t>
            </w:r>
          </w:p>
        </w:tc>
      </w:tr>
    </w:tbl>
    <w:p w:rsidR="00000000" w:rsidRPr="00C73939" w:rsidP="00C73939">
      <w:pPr>
        <w:pStyle w:val="NoPaddingFontSize1"/>
      </w:pPr>
    </w:p>
    <w:p w:rsidR="00000000" w:rsidRPr="00C73939" w:rsidP="00C73939">
      <w:pPr>
        <w:pStyle w:val="AllowPageBreak"/>
      </w:pPr>
    </w:p>
    <w:p w:rsidR="00000000" w:rsidRPr="00C73939" w:rsidP="00C73939">
      <w:pPr>
        <w:pStyle w:val="Heading1"/>
      </w:pPr>
      <w:bookmarkStart w:id="9" w:name="O_1268538"/>
      <w:bookmarkEnd w:id="9"/>
      <w:r w:rsidRPr="00C739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39" w:rsidP="00C73939">
            <w:pPr>
              <w:pStyle w:val="BodyText"/>
            </w:pPr>
            <w:r w:rsidRPr="00C73939">
              <w:t>This unit replaces and is equivalent to TLIX6002 Contribute to materiel logistics strategies.</w:t>
            </w:r>
          </w:p>
        </w:tc>
      </w:tr>
    </w:tbl>
    <w:p w:rsidR="00000000" w:rsidRPr="00C73939" w:rsidP="00C73939">
      <w:pPr>
        <w:pStyle w:val="NoPaddingFontSize1"/>
      </w:pPr>
    </w:p>
    <w:p w:rsidR="00000000" w:rsidRPr="00C73939" w:rsidP="00C73939">
      <w:pPr>
        <w:pStyle w:val="AllowPageBreak"/>
      </w:pPr>
    </w:p>
    <w:p w:rsidR="00000000" w:rsidRPr="00C73939" w:rsidP="00C73939">
      <w:pPr>
        <w:pStyle w:val="Heading1"/>
      </w:pPr>
      <w:bookmarkStart w:id="10" w:name="O_1268545"/>
      <w:bookmarkEnd w:id="10"/>
      <w:r w:rsidRPr="00C73939">
        <w:t>Links</w:t>
      </w:r>
    </w:p>
    <w:p w:rsidR="00000000" w:rsidRPr="00C73939" w:rsidP="00735220">
      <w:pPr>
        <w:pStyle w:val="BodyText"/>
      </w:pPr>
      <w:r w:rsidRPr="00C73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07D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73939" w:rsidP="00C73939"/>
    <w:sectPr w:rsidSect="00C739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39" w:rsidRPr="00735220" w:rsidP="00735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20" w:rsidP="00C73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220" w:rsidP="00C73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35220" w:rsidP="00C73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939" w:rsidRPr="00735220" w:rsidP="00735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20" w:rsidRPr="002D2AF8" w:rsidP="00C73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TLIX0059 Contribute to materiel logistics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35220" w:rsidP="00C73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939"/>
  </w:style>
  <w:style w:type="character" w:customStyle="1" w:styleId="Heading1Char">
    <w:name w:val="Heading 1 Char"/>
    <w:basedOn w:val="DefaultParagraphFont"/>
    <w:link w:val="Heading1"/>
    <w:rsid w:val="00C73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9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3939"/>
    <w:rPr>
      <w:b/>
      <w:spacing w:val="0"/>
    </w:rPr>
  </w:style>
  <w:style w:type="paragraph" w:customStyle="1" w:styleId="SuperHeading">
    <w:name w:val="SuperHeading"/>
    <w:basedOn w:val="Normal"/>
    <w:rsid w:val="00C73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3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9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39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3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39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3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939"/>
    <w:rPr>
      <w:i/>
    </w:rPr>
  </w:style>
  <w:style w:type="paragraph" w:styleId="Caption">
    <w:name w:val="caption"/>
    <w:basedOn w:val="BodyText"/>
    <w:next w:val="Normal"/>
    <w:qFormat/>
    <w:rsid w:val="00C73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939"/>
  </w:style>
  <w:style w:type="paragraph" w:styleId="TableofFigures">
    <w:name w:val="table of figures"/>
    <w:basedOn w:val="Normal"/>
    <w:next w:val="Normal"/>
    <w:semiHidden/>
    <w:rsid w:val="00C73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9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3939"/>
    <w:rPr>
      <w:rFonts w:ascii="Wingdings" w:hAnsi="Wingdings"/>
    </w:rPr>
  </w:style>
  <w:style w:type="paragraph" w:customStyle="1" w:styleId="TableHeading">
    <w:name w:val="Table Heading"/>
    <w:basedOn w:val="HeadingBase"/>
    <w:rsid w:val="00C73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939"/>
    <w:rPr>
      <w:color w:val="0033CC"/>
      <w:u w:val="none"/>
    </w:rPr>
  </w:style>
  <w:style w:type="paragraph" w:customStyle="1" w:styleId="BodyTextRight">
    <w:name w:val="Body Text Right"/>
    <w:basedOn w:val="BodyText"/>
    <w:rsid w:val="00C73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9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939"/>
    <w:rPr>
      <w:sz w:val="32"/>
    </w:rPr>
  </w:style>
  <w:style w:type="paragraph" w:customStyle="1" w:styleId="HeadingProcedure">
    <w:name w:val="Heading Procedure"/>
    <w:basedOn w:val="HeadingBase"/>
    <w:next w:val="Normal"/>
    <w:rsid w:val="00C73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939"/>
    <w:pPr>
      <w:spacing w:before="60" w:after="60"/>
    </w:pPr>
  </w:style>
  <w:style w:type="paragraph" w:styleId="ListContinue">
    <w:name w:val="List Continue"/>
    <w:basedOn w:val="List"/>
    <w:rsid w:val="00C73939"/>
    <w:pPr>
      <w:ind w:firstLine="0"/>
    </w:pPr>
  </w:style>
  <w:style w:type="paragraph" w:customStyle="1" w:styleId="ListNote">
    <w:name w:val="List Note"/>
    <w:basedOn w:val="List"/>
    <w:rsid w:val="00C73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939"/>
    <w:rPr>
      <w:rFonts w:ascii="Courier New" w:hAnsi="Courier New"/>
    </w:rPr>
  </w:style>
  <w:style w:type="paragraph" w:customStyle="1" w:styleId="NoteBullet">
    <w:name w:val="Note Bullet"/>
    <w:basedOn w:val="Note"/>
    <w:rsid w:val="00C73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9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3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939"/>
    <w:rPr>
      <w:b/>
      <w:smallCaps/>
    </w:rPr>
  </w:style>
  <w:style w:type="paragraph" w:customStyle="1" w:styleId="TableListNumber">
    <w:name w:val="Table List Number"/>
    <w:basedOn w:val="ListNumber"/>
    <w:rsid w:val="00C73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939"/>
    <w:pPr>
      <w:numPr>
        <w:numId w:val="7"/>
      </w:numPr>
    </w:pPr>
  </w:style>
  <w:style w:type="paragraph" w:customStyle="1" w:styleId="ListAlpha2">
    <w:name w:val="List Alpha 2"/>
    <w:basedOn w:val="List2"/>
    <w:rsid w:val="00C73939"/>
    <w:pPr>
      <w:numPr>
        <w:numId w:val="6"/>
      </w:numPr>
    </w:pPr>
  </w:style>
  <w:style w:type="paragraph" w:styleId="List2">
    <w:name w:val="List 2"/>
    <w:basedOn w:val="BodyText"/>
    <w:rsid w:val="00C73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9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9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3939"/>
    <w:pPr>
      <w:numPr>
        <w:numId w:val="2"/>
      </w:numPr>
    </w:pPr>
  </w:style>
  <w:style w:type="paragraph" w:styleId="ListContinue2">
    <w:name w:val="List Continue 2"/>
    <w:basedOn w:val="List2"/>
    <w:rsid w:val="00C73939"/>
    <w:pPr>
      <w:ind w:firstLine="0"/>
    </w:pPr>
  </w:style>
  <w:style w:type="paragraph" w:styleId="ListContinue3">
    <w:name w:val="List Continue 3"/>
    <w:basedOn w:val="List3"/>
    <w:rsid w:val="00C73939"/>
    <w:pPr>
      <w:ind w:left="1021" w:firstLine="0"/>
    </w:pPr>
  </w:style>
  <w:style w:type="paragraph" w:styleId="ListContinue4">
    <w:name w:val="List Continue 4"/>
    <w:basedOn w:val="List4"/>
    <w:rsid w:val="00C73939"/>
    <w:pPr>
      <w:ind w:firstLine="0"/>
    </w:pPr>
  </w:style>
  <w:style w:type="paragraph" w:styleId="ListContinue5">
    <w:name w:val="List Continue 5"/>
    <w:basedOn w:val="List5"/>
    <w:rsid w:val="00C73939"/>
    <w:pPr>
      <w:ind w:firstLine="0"/>
    </w:pPr>
  </w:style>
  <w:style w:type="paragraph" w:styleId="ListNumber3">
    <w:name w:val="List Number 3"/>
    <w:basedOn w:val="List3"/>
    <w:rsid w:val="00C73939"/>
    <w:pPr>
      <w:numPr>
        <w:numId w:val="3"/>
      </w:numPr>
    </w:pPr>
  </w:style>
  <w:style w:type="paragraph" w:styleId="ListNumber4">
    <w:name w:val="List Number 4"/>
    <w:basedOn w:val="List4"/>
    <w:rsid w:val="00C73939"/>
    <w:pPr>
      <w:numPr>
        <w:numId w:val="4"/>
      </w:numPr>
    </w:pPr>
  </w:style>
  <w:style w:type="paragraph" w:styleId="ListNumber5">
    <w:name w:val="List Number 5"/>
    <w:basedOn w:val="List5"/>
    <w:rsid w:val="00C73939"/>
    <w:pPr>
      <w:numPr>
        <w:numId w:val="5"/>
      </w:numPr>
    </w:pPr>
  </w:style>
  <w:style w:type="paragraph" w:styleId="BlockText">
    <w:name w:val="Block Text"/>
    <w:basedOn w:val="Normal"/>
    <w:rsid w:val="00C73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939"/>
    <w:rPr>
      <w:sz w:val="16"/>
      <w:vertAlign w:val="superscript"/>
    </w:rPr>
  </w:style>
  <w:style w:type="character" w:customStyle="1" w:styleId="Symbols">
    <w:name w:val="Symbols"/>
    <w:basedOn w:val="DefaultParagraphFont"/>
    <w:rsid w:val="00C73939"/>
    <w:rPr>
      <w:rFonts w:ascii="Symbol" w:hAnsi="Symbol"/>
    </w:rPr>
  </w:style>
  <w:style w:type="character" w:customStyle="1" w:styleId="MenuOptions">
    <w:name w:val="Menu Options"/>
    <w:basedOn w:val="DefaultParagraphFont"/>
    <w:rsid w:val="00C73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939"/>
    <w:rPr>
      <w:b/>
    </w:rPr>
  </w:style>
  <w:style w:type="character" w:customStyle="1" w:styleId="Underlined">
    <w:name w:val="Underlined"/>
    <w:basedOn w:val="DefaultParagraphFont"/>
    <w:rsid w:val="00C73939"/>
    <w:rPr>
      <w:u w:val="single"/>
    </w:rPr>
  </w:style>
  <w:style w:type="paragraph" w:customStyle="1" w:styleId="TableBodyTextRight">
    <w:name w:val="Table Body Text Right"/>
    <w:basedOn w:val="TableBodyText"/>
    <w:rsid w:val="00C73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939"/>
    <w:rPr>
      <w:sz w:val="18"/>
    </w:rPr>
  </w:style>
  <w:style w:type="paragraph" w:customStyle="1" w:styleId="BodySmallRight">
    <w:name w:val="Body Small Right"/>
    <w:basedOn w:val="BodyTextRight"/>
    <w:rsid w:val="00C73939"/>
    <w:rPr>
      <w:sz w:val="18"/>
      <w:szCs w:val="18"/>
    </w:rPr>
  </w:style>
  <w:style w:type="paragraph" w:customStyle="1" w:styleId="MarginEdition">
    <w:name w:val="Margin Edition"/>
    <w:basedOn w:val="MarginNote"/>
    <w:rsid w:val="00C73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939"/>
    <w:rPr>
      <w:sz w:val="2"/>
      <w:szCs w:val="2"/>
    </w:rPr>
  </w:style>
  <w:style w:type="character" w:customStyle="1" w:styleId="Small">
    <w:name w:val="Small"/>
    <w:basedOn w:val="DefaultParagraphFont"/>
    <w:rsid w:val="00C73939"/>
    <w:rPr>
      <w:sz w:val="16"/>
    </w:rPr>
  </w:style>
  <w:style w:type="paragraph" w:customStyle="1" w:styleId="WideTable">
    <w:name w:val="Wide Table"/>
    <w:basedOn w:val="Normal"/>
    <w:rsid w:val="00C73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939"/>
  </w:style>
  <w:style w:type="paragraph" w:styleId="Quote">
    <w:name w:val="Quote"/>
    <w:basedOn w:val="Heading1"/>
    <w:link w:val="QuoteChar"/>
    <w:qFormat/>
    <w:rsid w:val="00C73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939"/>
    <w:pPr>
      <w:pageBreakBefore/>
    </w:pPr>
  </w:style>
  <w:style w:type="paragraph" w:customStyle="1" w:styleId="Border">
    <w:name w:val="Border"/>
    <w:basedOn w:val="Normal"/>
    <w:qFormat/>
    <w:rsid w:val="00C73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939"/>
    <w:rPr>
      <w:u w:val="single"/>
    </w:rPr>
  </w:style>
  <w:style w:type="character" w:customStyle="1" w:styleId="BoldandItalics">
    <w:name w:val="Bold and Italics"/>
    <w:qFormat/>
    <w:rsid w:val="00C73939"/>
    <w:rPr>
      <w:b/>
      <w:i/>
      <w:u w:val="none"/>
    </w:rPr>
  </w:style>
  <w:style w:type="paragraph" w:styleId="BalloonText">
    <w:name w:val="Balloon Text"/>
    <w:basedOn w:val="Normal"/>
    <w:link w:val="BalloonTextChar"/>
    <w:rsid w:val="00C73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939"/>
    <w:pPr>
      <w:spacing w:before="0" w:after="0"/>
    </w:pPr>
  </w:style>
  <w:style w:type="paragraph" w:customStyle="1" w:styleId="BodyTextBold">
    <w:name w:val="Body Text Bold"/>
    <w:basedOn w:val="BodyText"/>
    <w:qFormat/>
    <w:rsid w:val="00C73939"/>
    <w:rPr>
      <w:b/>
    </w:rPr>
  </w:style>
  <w:style w:type="character" w:styleId="Hyperlink">
    <w:name w:val="Hyperlink"/>
    <w:basedOn w:val="DefaultParagraphFont"/>
    <w:uiPriority w:val="99"/>
    <w:unhideWhenUsed/>
    <w:rsid w:val="00735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3772</Characters>
  <Application>Microsoft Office Word</Application>
  <DocSecurity>0</DocSecurity>
  <Lines>179</Lines>
  <Paragraphs>85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TLIX0059 Contribute to materiel logistics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