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8C7" w:rsidP="00CB2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TLIX0053 Apply technical risk management systems and techniques</w:t>
      </w:r>
      <w:r>
        <w:fldChar w:fldCharType="end"/>
      </w:r>
    </w:p>
    <w:p w:rsidR="00CB28C7" w:rsidP="00CB28C7">
      <w:pPr>
        <w:pStyle w:val="Version"/>
        <w:sectPr w:rsidSect="00EA7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F8A" w:rsidP="00EA7F8A">
      <w:pPr>
        <w:pStyle w:val="SuperHeading"/>
      </w:pPr>
      <w:r w:rsidRPr="00EA7F8A">
        <w:t>TLIX0053 Apply technical risk management systems and techniques</w:t>
      </w:r>
    </w:p>
    <w:p w:rsidR="00000000" w:rsidRPr="00EA7F8A" w:rsidP="00EA7F8A">
      <w:pPr>
        <w:pStyle w:val="Heading1"/>
      </w:pPr>
      <w:bookmarkStart w:id="1" w:name="O_1267972"/>
      <w:bookmarkEnd w:id="1"/>
      <w:r w:rsidRPr="00EA7F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Release 1.</w:t>
            </w:r>
            <w:r w:rsidRPr="00EA7F8A">
              <w:t xml:space="preserve"> This is the first release of this unit of competency in the TLI Transport and Logistics Training Package.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2" w:name="O_1267973"/>
      <w:bookmarkEnd w:id="2"/>
      <w:r w:rsidRPr="00EA7F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 xml:space="preserve">This unit involves the skills and knowledge required to apply technical risk management systems and techniques. </w:t>
            </w:r>
          </w:p>
          <w:p w:rsidR="00000000" w:rsidRPr="00EA7F8A" w:rsidP="00EA7F8A">
            <w:pPr>
              <w:pStyle w:val="BodyText"/>
            </w:pPr>
            <w:r w:rsidRPr="00EA7F8A">
              <w:t>It includes assisting with risk assessments, conducting risk control activities and contributing to assessing risk management outcomes</w:t>
            </w:r>
          </w:p>
          <w:p w:rsidR="00000000" w:rsidRPr="00EA7F8A" w:rsidP="00EA7F8A">
            <w:pPr>
              <w:pStyle w:val="BodyText"/>
            </w:pPr>
            <w:r w:rsidRPr="00EA7F8A">
              <w:t>This uni</w:t>
            </w:r>
            <w:r w:rsidRPr="00EA7F8A">
              <w:t>t was developed for technical regulatory framework specialists working within materiel logistics but may be applicable to individuals in broader logistics roles.</w:t>
            </w:r>
          </w:p>
          <w:p w:rsidR="00000000" w:rsidRPr="00EA7F8A" w:rsidP="00EA7F8A">
            <w:pPr>
              <w:pStyle w:val="BodyText"/>
            </w:pPr>
            <w:r w:rsidRPr="00EA7F8A">
              <w:t xml:space="preserve">Individuals work independently or as part of a team under direct or indirect supervision, use </w:t>
            </w:r>
            <w:r w:rsidRPr="00EA7F8A">
              <w:t>discretion and judgement, and take responsibility for the quality of their outputs. All activities are carried out in accordance with relevant organisational policy and procedures.</w:t>
            </w:r>
          </w:p>
          <w:p w:rsidR="00000000" w:rsidRPr="00EA7F8A" w:rsidP="00EA7F8A">
            <w:pPr>
              <w:pStyle w:val="BodyText"/>
            </w:pPr>
            <w:r w:rsidRPr="00EA7F8A">
              <w:t xml:space="preserve">No licensing, legislative or certification requirements apply to this unit </w:t>
            </w:r>
            <w:r w:rsidRPr="00EA7F8A">
              <w:t>at the time of publication.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3" w:name="O_1267974"/>
      <w:bookmarkEnd w:id="3"/>
      <w:r w:rsidRPr="00EA7F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Not applicable.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4" w:name="O_1267975"/>
      <w:bookmarkEnd w:id="4"/>
      <w:r w:rsidRPr="00EA7F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X – Logistics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5" w:name="O_1267976"/>
      <w:bookmarkEnd w:id="5"/>
      <w:r w:rsidRPr="00EA7F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Not applicable.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6" w:name="O_1267977"/>
      <w:bookmarkEnd w:id="6"/>
      <w:r w:rsidRPr="00EA7F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7"/>
        <w:gridCol w:w="3076"/>
        <w:gridCol w:w="1403"/>
        <w:gridCol w:w="4292"/>
      </w:tblGrid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Elements describe the essential outcomes.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Performance criteria describe the performance needed to demonstrate achievement of the element.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1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Assist with risk assessment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1.1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 xml:space="preserve">Contribution is made to identify, analyse, evaluate and prioritise risks to technical </w:t>
            </w:r>
            <w:r w:rsidRPr="00EA7F8A">
              <w:t>integrity of the organisation’s materiel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1.2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Within delegated technical/engineering authority, input is provided to develop risk management strategies and risk managem</w:t>
            </w:r>
            <w:r w:rsidRPr="00EA7F8A">
              <w:t>ent plans within established guidelines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1.3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Established risk analysis methods, techniques and tools are used to assist in assessing risks in accordance with organisational plans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1.4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Reporting mechanisms for risks to</w:t>
            </w:r>
            <w:r w:rsidRPr="00EA7F8A">
              <w:t xml:space="preserve"> technical integrity are incorporated, in accordance with organisational plans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2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Conduct risk control activities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2.1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Risk control activities are undertaken and monitored in accordance with organisational plans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2.2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Risks to technical integrity are acted</w:t>
            </w:r>
            <w:r w:rsidRPr="00EA7F8A">
              <w:t xml:space="preserve"> on within technical/engineering authority or reported to stakeholders for response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2.3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Contribution is made to implementing agreed risk approaches and amending plans to reflect changing context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2.4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Opportunities are identified and reported for action in the same way as risks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3</w:t>
            </w:r>
          </w:p>
        </w:tc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rPr>
                <w:rStyle w:val="SpecialBold"/>
              </w:rPr>
              <w:t>Contribute to assessing risk management outcomes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3.1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t>Contribution is made to the ongoing review of the technical integrity of organisational materiel to determine the effectiv</w:t>
            </w:r>
            <w:r w:rsidRPr="00EA7F8A">
              <w:t>eness of risk management activities by accessing data and available information</w:t>
            </w:r>
          </w:p>
        </w:tc>
      </w:tr>
      <w:tr w:rsidTr="00EA7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8A">
            <w:pPr>
              <w:pStyle w:val="BodyText"/>
              <w:rPr>
                <w:lang w:val="en-NZ"/>
              </w:rPr>
            </w:pPr>
            <w:r w:rsidRPr="00EA7F8A">
              <w:rPr>
                <w:rStyle w:val="SpecialBold"/>
              </w:rPr>
              <w:t>3.2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Risk management issues and responses are reported to stakeholders for lessons learned or application in future technical/engineering activities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7" w:name="O_1267978"/>
      <w:bookmarkEnd w:id="7"/>
      <w:r w:rsidRPr="00EA7F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Foundation skills essential to performance are explicit in the performance criteria of this unit of competency.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8" w:name="O_1267979"/>
      <w:bookmarkEnd w:id="8"/>
      <w:r w:rsidRPr="00EA7F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Range is restricted to essential operating conditions and any other variables essenti</w:t>
            </w:r>
            <w:r w:rsidRPr="00EA7F8A">
              <w:t>al to the work environment.</w:t>
            </w:r>
          </w:p>
          <w:p w:rsidR="00000000" w:rsidRPr="00EA7F8A" w:rsidP="00EA7F8A">
            <w:pPr>
              <w:pStyle w:val="BodyText"/>
            </w:pPr>
            <w:r w:rsidRPr="00EA7F8A">
              <w:t>Non-essential conditions can be found in the Companion Volume Implementation Guide.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9" w:name="O_1267980"/>
      <w:bookmarkEnd w:id="9"/>
      <w:r w:rsidRPr="00EA7F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8A" w:rsidP="00EA7F8A">
            <w:pPr>
              <w:pStyle w:val="BodyText"/>
            </w:pPr>
            <w:r w:rsidRPr="00EA7F8A">
              <w:t>This unit replaces and is equivalent to TLIX4034 Apply technical risk management systems and techniques.</w:t>
            </w:r>
          </w:p>
        </w:tc>
      </w:tr>
    </w:tbl>
    <w:p w:rsidR="00000000" w:rsidRPr="00EA7F8A" w:rsidP="00EA7F8A">
      <w:pPr>
        <w:pStyle w:val="NoPaddingFontSize1"/>
      </w:pPr>
    </w:p>
    <w:p w:rsidR="00000000" w:rsidRPr="00EA7F8A" w:rsidP="00EA7F8A">
      <w:pPr>
        <w:pStyle w:val="AllowPageBreak"/>
      </w:pPr>
    </w:p>
    <w:p w:rsidR="00000000" w:rsidRPr="00EA7F8A" w:rsidP="00EA7F8A">
      <w:pPr>
        <w:pStyle w:val="Heading1"/>
      </w:pPr>
      <w:bookmarkStart w:id="10" w:name="O_1267987"/>
      <w:bookmarkEnd w:id="10"/>
      <w:r w:rsidRPr="00EA7F8A">
        <w:t>Links</w:t>
      </w:r>
    </w:p>
    <w:p w:rsidR="00000000" w:rsidRPr="00EA7F8A" w:rsidP="00CB28C7">
      <w:pPr>
        <w:pStyle w:val="BodyText"/>
      </w:pPr>
      <w:r w:rsidRPr="00EA7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615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7F8A" w:rsidP="00EA7F8A"/>
    <w:sectPr w:rsidSect="00EA7F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8A" w:rsidRPr="00CB28C7" w:rsidP="00CB2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7" w:rsidP="00EA7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8C7" w:rsidP="00EA7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28C7" w:rsidP="00EA7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F8A" w:rsidRPr="00CB28C7" w:rsidP="00CB2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7" w:rsidRPr="002D2AF8" w:rsidP="00EA7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TLIX0053 Apply technical risk management systems 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B28C7" w:rsidP="00EA7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F8A"/>
  </w:style>
  <w:style w:type="character" w:customStyle="1" w:styleId="Heading1Char">
    <w:name w:val="Heading 1 Char"/>
    <w:basedOn w:val="DefaultParagraphFont"/>
    <w:link w:val="Heading1"/>
    <w:rsid w:val="00EA7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F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7F8A"/>
    <w:rPr>
      <w:b/>
      <w:spacing w:val="0"/>
    </w:rPr>
  </w:style>
  <w:style w:type="paragraph" w:customStyle="1" w:styleId="SuperHeading">
    <w:name w:val="SuperHeading"/>
    <w:basedOn w:val="Normal"/>
    <w:rsid w:val="00EA7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7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F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F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7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F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F8A"/>
    <w:rPr>
      <w:i/>
    </w:rPr>
  </w:style>
  <w:style w:type="paragraph" w:styleId="Caption">
    <w:name w:val="caption"/>
    <w:basedOn w:val="BodyText"/>
    <w:next w:val="Normal"/>
    <w:qFormat/>
    <w:rsid w:val="00EA7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F8A"/>
  </w:style>
  <w:style w:type="paragraph" w:styleId="TableofFigures">
    <w:name w:val="table of figures"/>
    <w:basedOn w:val="Normal"/>
    <w:next w:val="Normal"/>
    <w:semiHidden/>
    <w:rsid w:val="00EA7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F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7F8A"/>
    <w:rPr>
      <w:rFonts w:ascii="Wingdings" w:hAnsi="Wingdings"/>
    </w:rPr>
  </w:style>
  <w:style w:type="paragraph" w:customStyle="1" w:styleId="TableHeading">
    <w:name w:val="Table Heading"/>
    <w:basedOn w:val="HeadingBase"/>
    <w:rsid w:val="00EA7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F8A"/>
    <w:rPr>
      <w:color w:val="0033CC"/>
      <w:u w:val="none"/>
    </w:rPr>
  </w:style>
  <w:style w:type="paragraph" w:customStyle="1" w:styleId="BodyTextRight">
    <w:name w:val="Body Text Right"/>
    <w:basedOn w:val="BodyText"/>
    <w:rsid w:val="00EA7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F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F8A"/>
    <w:rPr>
      <w:sz w:val="32"/>
    </w:rPr>
  </w:style>
  <w:style w:type="paragraph" w:customStyle="1" w:styleId="HeadingProcedure">
    <w:name w:val="Heading Procedure"/>
    <w:basedOn w:val="HeadingBase"/>
    <w:next w:val="Normal"/>
    <w:rsid w:val="00EA7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F8A"/>
    <w:pPr>
      <w:spacing w:before="60" w:after="60"/>
    </w:pPr>
  </w:style>
  <w:style w:type="paragraph" w:styleId="ListContinue">
    <w:name w:val="List Continue"/>
    <w:basedOn w:val="List"/>
    <w:rsid w:val="00EA7F8A"/>
    <w:pPr>
      <w:ind w:firstLine="0"/>
    </w:pPr>
  </w:style>
  <w:style w:type="paragraph" w:customStyle="1" w:styleId="ListNote">
    <w:name w:val="List Note"/>
    <w:basedOn w:val="List"/>
    <w:rsid w:val="00EA7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F8A"/>
    <w:rPr>
      <w:rFonts w:ascii="Courier New" w:hAnsi="Courier New"/>
    </w:rPr>
  </w:style>
  <w:style w:type="paragraph" w:customStyle="1" w:styleId="NoteBullet">
    <w:name w:val="Note Bullet"/>
    <w:basedOn w:val="Note"/>
    <w:rsid w:val="00EA7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F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7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F8A"/>
    <w:rPr>
      <w:b/>
      <w:smallCaps/>
    </w:rPr>
  </w:style>
  <w:style w:type="paragraph" w:customStyle="1" w:styleId="TableListNumber">
    <w:name w:val="Table List Number"/>
    <w:basedOn w:val="ListNumber"/>
    <w:rsid w:val="00EA7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F8A"/>
    <w:pPr>
      <w:numPr>
        <w:numId w:val="7"/>
      </w:numPr>
    </w:pPr>
  </w:style>
  <w:style w:type="paragraph" w:customStyle="1" w:styleId="ListAlpha2">
    <w:name w:val="List Alpha 2"/>
    <w:basedOn w:val="List2"/>
    <w:rsid w:val="00EA7F8A"/>
    <w:pPr>
      <w:numPr>
        <w:numId w:val="6"/>
      </w:numPr>
    </w:pPr>
  </w:style>
  <w:style w:type="paragraph" w:styleId="List2">
    <w:name w:val="List 2"/>
    <w:basedOn w:val="BodyText"/>
    <w:rsid w:val="00EA7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F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F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7F8A"/>
    <w:pPr>
      <w:numPr>
        <w:numId w:val="2"/>
      </w:numPr>
    </w:pPr>
  </w:style>
  <w:style w:type="paragraph" w:styleId="ListContinue2">
    <w:name w:val="List Continue 2"/>
    <w:basedOn w:val="List2"/>
    <w:rsid w:val="00EA7F8A"/>
    <w:pPr>
      <w:ind w:firstLine="0"/>
    </w:pPr>
  </w:style>
  <w:style w:type="paragraph" w:styleId="ListContinue3">
    <w:name w:val="List Continue 3"/>
    <w:basedOn w:val="List3"/>
    <w:rsid w:val="00EA7F8A"/>
    <w:pPr>
      <w:ind w:left="1021" w:firstLine="0"/>
    </w:pPr>
  </w:style>
  <w:style w:type="paragraph" w:styleId="ListContinue4">
    <w:name w:val="List Continue 4"/>
    <w:basedOn w:val="List4"/>
    <w:rsid w:val="00EA7F8A"/>
    <w:pPr>
      <w:ind w:firstLine="0"/>
    </w:pPr>
  </w:style>
  <w:style w:type="paragraph" w:styleId="ListContinue5">
    <w:name w:val="List Continue 5"/>
    <w:basedOn w:val="List5"/>
    <w:rsid w:val="00EA7F8A"/>
    <w:pPr>
      <w:ind w:firstLine="0"/>
    </w:pPr>
  </w:style>
  <w:style w:type="paragraph" w:styleId="ListNumber3">
    <w:name w:val="List Number 3"/>
    <w:basedOn w:val="List3"/>
    <w:rsid w:val="00EA7F8A"/>
    <w:pPr>
      <w:numPr>
        <w:numId w:val="3"/>
      </w:numPr>
    </w:pPr>
  </w:style>
  <w:style w:type="paragraph" w:styleId="ListNumber4">
    <w:name w:val="List Number 4"/>
    <w:basedOn w:val="List4"/>
    <w:rsid w:val="00EA7F8A"/>
    <w:pPr>
      <w:numPr>
        <w:numId w:val="4"/>
      </w:numPr>
    </w:pPr>
  </w:style>
  <w:style w:type="paragraph" w:styleId="ListNumber5">
    <w:name w:val="List Number 5"/>
    <w:basedOn w:val="List5"/>
    <w:rsid w:val="00EA7F8A"/>
    <w:pPr>
      <w:numPr>
        <w:numId w:val="5"/>
      </w:numPr>
    </w:pPr>
  </w:style>
  <w:style w:type="paragraph" w:styleId="BlockText">
    <w:name w:val="Block Text"/>
    <w:basedOn w:val="Normal"/>
    <w:rsid w:val="00EA7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F8A"/>
    <w:rPr>
      <w:sz w:val="16"/>
      <w:vertAlign w:val="superscript"/>
    </w:rPr>
  </w:style>
  <w:style w:type="character" w:customStyle="1" w:styleId="Symbols">
    <w:name w:val="Symbols"/>
    <w:basedOn w:val="DefaultParagraphFont"/>
    <w:rsid w:val="00EA7F8A"/>
    <w:rPr>
      <w:rFonts w:ascii="Symbol" w:hAnsi="Symbol"/>
    </w:rPr>
  </w:style>
  <w:style w:type="character" w:customStyle="1" w:styleId="MenuOptions">
    <w:name w:val="Menu Options"/>
    <w:basedOn w:val="DefaultParagraphFont"/>
    <w:rsid w:val="00EA7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F8A"/>
    <w:rPr>
      <w:b/>
    </w:rPr>
  </w:style>
  <w:style w:type="character" w:customStyle="1" w:styleId="Underlined">
    <w:name w:val="Underlined"/>
    <w:basedOn w:val="DefaultParagraphFont"/>
    <w:rsid w:val="00EA7F8A"/>
    <w:rPr>
      <w:u w:val="single"/>
    </w:rPr>
  </w:style>
  <w:style w:type="paragraph" w:customStyle="1" w:styleId="TableBodyTextRight">
    <w:name w:val="Table Body Text Right"/>
    <w:basedOn w:val="TableBodyText"/>
    <w:rsid w:val="00EA7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F8A"/>
    <w:rPr>
      <w:sz w:val="18"/>
    </w:rPr>
  </w:style>
  <w:style w:type="paragraph" w:customStyle="1" w:styleId="BodySmallRight">
    <w:name w:val="Body Small Right"/>
    <w:basedOn w:val="BodyTextRight"/>
    <w:rsid w:val="00EA7F8A"/>
    <w:rPr>
      <w:sz w:val="18"/>
      <w:szCs w:val="18"/>
    </w:rPr>
  </w:style>
  <w:style w:type="paragraph" w:customStyle="1" w:styleId="MarginEdition">
    <w:name w:val="Margin Edition"/>
    <w:basedOn w:val="MarginNote"/>
    <w:rsid w:val="00EA7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F8A"/>
    <w:rPr>
      <w:sz w:val="2"/>
      <w:szCs w:val="2"/>
    </w:rPr>
  </w:style>
  <w:style w:type="character" w:customStyle="1" w:styleId="Small">
    <w:name w:val="Small"/>
    <w:basedOn w:val="DefaultParagraphFont"/>
    <w:rsid w:val="00EA7F8A"/>
    <w:rPr>
      <w:sz w:val="16"/>
    </w:rPr>
  </w:style>
  <w:style w:type="paragraph" w:customStyle="1" w:styleId="WideTable">
    <w:name w:val="Wide Table"/>
    <w:basedOn w:val="Normal"/>
    <w:rsid w:val="00EA7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F8A"/>
  </w:style>
  <w:style w:type="paragraph" w:styleId="Quote">
    <w:name w:val="Quote"/>
    <w:basedOn w:val="Heading1"/>
    <w:link w:val="QuoteChar"/>
    <w:qFormat/>
    <w:rsid w:val="00EA7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F8A"/>
    <w:pPr>
      <w:pageBreakBefore/>
    </w:pPr>
  </w:style>
  <w:style w:type="paragraph" w:customStyle="1" w:styleId="Border">
    <w:name w:val="Border"/>
    <w:basedOn w:val="Normal"/>
    <w:qFormat/>
    <w:rsid w:val="00EA7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F8A"/>
    <w:rPr>
      <w:u w:val="single"/>
    </w:rPr>
  </w:style>
  <w:style w:type="character" w:customStyle="1" w:styleId="BoldandItalics">
    <w:name w:val="Bold and Italics"/>
    <w:qFormat/>
    <w:rsid w:val="00EA7F8A"/>
    <w:rPr>
      <w:b/>
      <w:i/>
      <w:u w:val="none"/>
    </w:rPr>
  </w:style>
  <w:style w:type="paragraph" w:styleId="BalloonText">
    <w:name w:val="Balloon Text"/>
    <w:basedOn w:val="Normal"/>
    <w:link w:val="BalloonTextChar"/>
    <w:rsid w:val="00EA7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F8A"/>
    <w:pPr>
      <w:spacing w:before="0" w:after="0"/>
    </w:pPr>
  </w:style>
  <w:style w:type="paragraph" w:customStyle="1" w:styleId="BodyTextBold">
    <w:name w:val="Body Text Bold"/>
    <w:basedOn w:val="BodyText"/>
    <w:qFormat/>
    <w:rsid w:val="00EA7F8A"/>
    <w:rPr>
      <w:b/>
    </w:rPr>
  </w:style>
  <w:style w:type="character" w:styleId="Hyperlink">
    <w:name w:val="Hyperlink"/>
    <w:basedOn w:val="DefaultParagraphFont"/>
    <w:uiPriority w:val="99"/>
    <w:unhideWhenUsed/>
    <w:rsid w:val="00CB2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3148</Characters>
  <Application>Microsoft Office Word</Application>
  <DocSecurity>0</DocSecurity>
  <Lines>143</Lines>
  <Paragraphs>67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TLIX0053 Apply technical risk management systems and techniques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