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D72" w:rsidP="009E4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TLIX0053 Apply technical risk management systems and techniques</w:t>
      </w:r>
      <w:r>
        <w:fldChar w:fldCharType="end"/>
      </w:r>
    </w:p>
    <w:p w:rsidR="009E4D72" w:rsidP="009E4D72">
      <w:pPr>
        <w:pStyle w:val="Version"/>
        <w:sectPr w:rsidSect="00D24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309" w:rsidP="00D24309">
      <w:pPr>
        <w:pStyle w:val="SuperHeading"/>
      </w:pPr>
      <w:r w:rsidRPr="00D24309">
        <w:t>TLIX0053 Apply technical risk management systems and techniques</w:t>
      </w:r>
    </w:p>
    <w:p w:rsidR="00000000" w:rsidRPr="00D24309" w:rsidP="00D24309">
      <w:pPr>
        <w:pStyle w:val="Heading1"/>
      </w:pPr>
      <w:bookmarkStart w:id="1" w:name="O_1267972"/>
      <w:bookmarkEnd w:id="1"/>
      <w:r w:rsidRPr="00D243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Release 1.</w:t>
            </w:r>
            <w:r w:rsidRPr="00D24309">
              <w:t xml:space="preserve"> This is the first release of this unit of competency in the TLI Transport and Logistics Training Package.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2" w:name="O_1267973"/>
      <w:bookmarkEnd w:id="2"/>
      <w:r w:rsidRPr="00D243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 xml:space="preserve">This unit involves the skills and knowledge required to apply technical risk management systems and techniques. </w:t>
            </w:r>
          </w:p>
          <w:p w:rsidR="00000000" w:rsidRPr="00D24309" w:rsidP="00D24309">
            <w:pPr>
              <w:pStyle w:val="BodyText"/>
            </w:pPr>
            <w:r w:rsidRPr="00D24309">
              <w:t>It includes assisting with risk assessments, conducting risk control activities and contributing to assessing risk management outcomes</w:t>
            </w:r>
          </w:p>
          <w:p w:rsidR="00000000" w:rsidRPr="00D24309" w:rsidP="00D24309">
            <w:pPr>
              <w:pStyle w:val="BodyText"/>
            </w:pPr>
            <w:r w:rsidRPr="00D24309">
              <w:t>This uni</w:t>
            </w:r>
            <w:r w:rsidRPr="00D24309">
              <w:t>t was developed for technical regulatory framework specialists working within materiel logistics but may be applicable to individuals in broader logistics roles.</w:t>
            </w:r>
          </w:p>
          <w:p w:rsidR="00000000" w:rsidRPr="00D24309" w:rsidP="00D24309">
            <w:pPr>
              <w:pStyle w:val="BodyText"/>
            </w:pPr>
            <w:r w:rsidRPr="00D24309">
              <w:t xml:space="preserve">Individuals work independently or as part of a team under direct or indirect supervision, use </w:t>
            </w:r>
            <w:r w:rsidRPr="00D24309">
              <w:t>discretion and judgement, and take responsibility for the quality of their outputs. All activities are carried out in accordance with relevant organisational policy and procedures.</w:t>
            </w:r>
          </w:p>
          <w:p w:rsidR="00000000" w:rsidRPr="00D24309" w:rsidP="00D24309">
            <w:pPr>
              <w:pStyle w:val="BodyText"/>
            </w:pPr>
            <w:r w:rsidRPr="00D24309">
              <w:t xml:space="preserve">No licensing, legislative or certification requirements apply to this unit </w:t>
            </w:r>
            <w:r w:rsidRPr="00D24309">
              <w:t>at the time of publication.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3" w:name="O_1267974"/>
      <w:bookmarkEnd w:id="3"/>
      <w:r w:rsidRPr="00D243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Not applicable.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4" w:name="O_1267975"/>
      <w:bookmarkEnd w:id="4"/>
      <w:r w:rsidRPr="00D243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X – Logistics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5" w:name="O_1267976"/>
      <w:bookmarkEnd w:id="5"/>
      <w:r w:rsidRPr="00D243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Not applicable.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6" w:name="O_1267977"/>
      <w:bookmarkEnd w:id="6"/>
      <w:r w:rsidRPr="00D243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7"/>
        <w:gridCol w:w="3076"/>
        <w:gridCol w:w="1403"/>
        <w:gridCol w:w="4292"/>
      </w:tblGrid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Elements describe the essential outcomes.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Performance criteria describe the performance needed to demonstrate achievement of the element.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1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Assist with risk assessment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1.1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 xml:space="preserve">Contribution is made to identify, analyse, evaluate and prioritise risks to technical </w:t>
            </w:r>
            <w:r w:rsidRPr="00D24309">
              <w:t>integrity of the organisation’s materiel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1.2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Within delegated technical/engineering authority, input is provided to develop risk management strategies and risk managem</w:t>
            </w:r>
            <w:r w:rsidRPr="00D24309">
              <w:t>ent plans within established guidelines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1.3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Established risk analysis methods, techniques and tools are used to assist in assessing risks in accordance with organisational plans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1.4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Reporting mechanisms for risks to technical integrity are incorporated, in accordance with organisational plans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2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Conduct risk control activities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2.1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Risk control activities are undertaken and monitored in accordance with organisational plans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2.2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Risks</w:t>
            </w:r>
            <w:r w:rsidRPr="00D24309">
              <w:t xml:space="preserve"> to technical integrity are acted on within technical/engineering authority or reported to stakeholders for response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2.3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Contribution is made to implementing agreed risk approaches and amending plans to reflect changing context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2.4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Opportunities are identified and reported for action in the same way as risks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3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Contribute to assessing risk management outcomes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3.1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Contribution is made to the ongoing review of the technical integrity of organisational materiel to determine the effectiv</w:t>
            </w:r>
            <w:r w:rsidRPr="00D24309">
              <w:t>eness of risk management activities by accessing data and available information</w:t>
            </w:r>
          </w:p>
        </w:tc>
      </w:tr>
      <w:tr w:rsidTr="00D243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>
            <w:pPr>
              <w:pStyle w:val="BodyText"/>
              <w:keepLines w:val="0"/>
              <w:spacing w:before="0" w:after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rPr>
                <w:rStyle w:val="SpecialBold"/>
              </w:rPr>
              <w:t>3.2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Risk management issues and responses are reported to stakeholders for lessons learned or application in future technical/engineering activities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7" w:name="O_1267978"/>
      <w:bookmarkEnd w:id="7"/>
      <w:r w:rsidRPr="00D243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Foundation skills essential to performance are explicit in the performance criteria of this unit of competency.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8" w:name="O_1267979"/>
      <w:bookmarkEnd w:id="8"/>
      <w:r w:rsidRPr="00D243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Range is restricted to essential operating conditions and any other variables essential to the work environment.</w:t>
            </w:r>
          </w:p>
          <w:p w:rsidR="00000000" w:rsidRPr="00D24309" w:rsidP="00D24309">
            <w:pPr>
              <w:pStyle w:val="BodyText"/>
            </w:pPr>
            <w:r w:rsidRPr="00D24309">
              <w:t>Non-essential conditions can be found in the Companion Volume Implementation Guide.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9" w:name="O_1267980"/>
      <w:bookmarkEnd w:id="9"/>
      <w:r w:rsidRPr="00D243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>This unit rep</w:t>
            </w:r>
            <w:r w:rsidRPr="00D24309">
              <w:t>laces and is equivalent to TLIX4034 Apply technical risk management systems and techniques.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10" w:name="O_1267987"/>
      <w:bookmarkEnd w:id="10"/>
      <w:r w:rsidRPr="00D24309">
        <w:t>Links</w:t>
      </w:r>
    </w:p>
    <w:p w:rsidR="00000000" w:rsidRPr="00D24309" w:rsidP="009E4D72">
      <w:pPr>
        <w:pStyle w:val="BodyText"/>
      </w:pPr>
      <w:r w:rsidRPr="00D243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6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309" w:rsidP="009E4D72">
      <w:pPr>
        <w:pStyle w:val="BodyText"/>
        <w:sectPr w:rsidSect="00D243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309" w:rsidP="00D24309">
      <w:pPr>
        <w:pStyle w:val="SuperHeading"/>
      </w:pPr>
      <w:r w:rsidRPr="00D24309">
        <w:t>Assessment Requirements for TLIX0053 Apply technical risk management systems and techniques</w:t>
      </w:r>
    </w:p>
    <w:p w:rsidR="00000000" w:rsidRPr="00D24309" w:rsidP="00D24309">
      <w:pPr>
        <w:pStyle w:val="Heading1"/>
      </w:pPr>
      <w:bookmarkStart w:id="11" w:name="O_1267982"/>
      <w:bookmarkEnd w:id="11"/>
      <w:r w:rsidRPr="00D243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rPr>
                <w:rStyle w:val="SpecialBold"/>
              </w:rPr>
              <w:t>Release 1.</w:t>
            </w:r>
            <w:r w:rsidRPr="00D24309">
              <w:t xml:space="preserve"> This is the first release of this unit of competency in the TLI Transport and Logistics Training Package.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12" w:name="O_1267983"/>
      <w:bookmarkEnd w:id="12"/>
      <w:r w:rsidRPr="00D243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Evidence required to demonstrate competence in this unit must be relevant to and satisfy all the requiremen</w:t>
            </w:r>
            <w:r w:rsidRPr="00D24309">
              <w:t>ts of the elements and performance criteria and on at least one occasion and includes:</w:t>
            </w:r>
          </w:p>
        </w:tc>
      </w:tr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ListBullet"/>
            </w:pPr>
            <w:r w:rsidRPr="00D24309">
              <w:t>adhering to and applying relevant data collection, storage and retrieval requirements</w:t>
            </w:r>
          </w:p>
          <w:p w:rsidR="00000000" w:rsidRPr="00D24309" w:rsidP="00D24309">
            <w:pPr>
              <w:pStyle w:val="ListBullet"/>
            </w:pPr>
            <w:r w:rsidRPr="00D24309">
              <w:t>applying knowledge of technical risk management systems to work being performed a</w:t>
            </w:r>
            <w:r w:rsidRPr="00D24309">
              <w:t>nd to guide problem solving</w:t>
            </w:r>
          </w:p>
          <w:p w:rsidR="00000000" w:rsidRPr="00D24309" w:rsidP="00D24309">
            <w:pPr>
              <w:pStyle w:val="ListBullet"/>
            </w:pPr>
            <w:r w:rsidRPr="00D24309">
              <w:t>applying technical risk management knowledge relevant to work being performed</w:t>
            </w:r>
          </w:p>
          <w:p w:rsidR="00000000" w:rsidRPr="00D24309" w:rsidP="00D24309">
            <w:pPr>
              <w:pStyle w:val="ListBullet"/>
            </w:pPr>
            <w:r w:rsidRPr="00D24309">
              <w:t>completing work area housekeeping requirements including documenting risk management activity and process outcomes</w:t>
            </w:r>
          </w:p>
          <w:p w:rsidR="00000000" w:rsidRPr="00D24309" w:rsidP="00D24309">
            <w:pPr>
              <w:pStyle w:val="ListBullet"/>
            </w:pPr>
            <w:r w:rsidRPr="00D24309">
              <w:t>contributing to reports of results</w:t>
            </w:r>
          </w:p>
          <w:p w:rsidR="00000000" w:rsidRPr="00D24309" w:rsidP="00D24309">
            <w:pPr>
              <w:pStyle w:val="ListBullet"/>
            </w:pPr>
            <w:r w:rsidRPr="00D24309">
              <w:t>controlling and identifying risk</w:t>
            </w:r>
          </w:p>
          <w:p w:rsidR="00000000" w:rsidRPr="00D24309" w:rsidP="00D24309">
            <w:pPr>
              <w:pStyle w:val="ListBullet"/>
            </w:pPr>
            <w:r w:rsidRPr="00D24309">
              <w:t>developing risk management strategies</w:t>
            </w:r>
          </w:p>
          <w:p w:rsidR="00000000" w:rsidRPr="00D24309" w:rsidP="00D24309">
            <w:pPr>
              <w:pStyle w:val="ListBullet"/>
            </w:pPr>
            <w:r w:rsidRPr="00D24309">
              <w:t>implementing, monitoring, and successfully completing risk management activities</w:t>
            </w:r>
          </w:p>
          <w:p w:rsidR="00000000" w:rsidRPr="00D24309" w:rsidP="00D24309">
            <w:pPr>
              <w:pStyle w:val="ListBullet"/>
            </w:pPr>
            <w:r w:rsidRPr="00D24309">
              <w:t>interpreting organisational role relevant to technical risk management</w:t>
            </w:r>
          </w:p>
          <w:p w:rsidR="00000000" w:rsidRPr="00D24309" w:rsidP="00D24309">
            <w:pPr>
              <w:pStyle w:val="ListBullet"/>
            </w:pPr>
            <w:r w:rsidRPr="00D24309">
              <w:t>modifying activities to cater for variations in workplace context and environment</w:t>
            </w:r>
          </w:p>
          <w:p w:rsidR="00000000" w:rsidRPr="00D24309" w:rsidP="00D24309">
            <w:pPr>
              <w:pStyle w:val="ListBullet"/>
            </w:pPr>
            <w:r w:rsidRPr="00D24309">
              <w:t>monitoring risks</w:t>
            </w:r>
          </w:p>
          <w:p w:rsidR="00000000" w:rsidRPr="00D24309" w:rsidP="00D24309">
            <w:pPr>
              <w:pStyle w:val="ListBullet"/>
            </w:pPr>
            <w:r w:rsidRPr="00D24309">
              <w:t>operating equipment and systems relevant to technical risk management activities</w:t>
            </w:r>
          </w:p>
          <w:p w:rsidR="00000000" w:rsidRPr="00D24309" w:rsidP="00D24309">
            <w:pPr>
              <w:pStyle w:val="ListBullet"/>
            </w:pPr>
            <w:r w:rsidRPr="00D24309">
              <w:t>reviewing risk management within the project</w:t>
            </w:r>
          </w:p>
          <w:p w:rsidR="00000000" w:rsidRPr="00D24309" w:rsidP="00D24309">
            <w:pPr>
              <w:pStyle w:val="ListBullet"/>
            </w:pPr>
            <w:r w:rsidRPr="00D24309">
              <w:t>using appropriate information m</w:t>
            </w:r>
            <w:r w:rsidRPr="00D24309">
              <w:t>anagement systems</w:t>
            </w:r>
          </w:p>
          <w:p w:rsidR="00000000" w:rsidRPr="00D24309" w:rsidP="00D24309">
            <w:pPr>
              <w:pStyle w:val="ListBullet"/>
            </w:pPr>
            <w:r w:rsidRPr="00D24309">
              <w:t>working and communicating effectively and constructively with stakeholders involved in the work.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13" w:name="O_1267984"/>
      <w:bookmarkEnd w:id="13"/>
      <w:r w:rsidRPr="00D243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309">
            <w:pPr>
              <w:pStyle w:val="BodyText"/>
              <w:rPr>
                <w:lang w:val="en-NZ"/>
              </w:rPr>
            </w:pPr>
            <w:r w:rsidRPr="00D24309">
              <w:t>Evidence required to demonstrate competence in this unit must be relevant to and satisfy all the req</w:t>
            </w:r>
            <w:r w:rsidRPr="00D24309">
              <w:t>uirements of the elements and performance criteria and include knowledge of:</w:t>
            </w:r>
          </w:p>
        </w:tc>
      </w:tr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ListBullet"/>
            </w:pPr>
            <w:r w:rsidRPr="00D24309">
              <w:t>organisational engineering management plan and risk management plan</w:t>
            </w:r>
          </w:p>
          <w:p w:rsidR="00000000" w:rsidRPr="00D24309" w:rsidP="00D24309">
            <w:pPr>
              <w:pStyle w:val="ListBullet"/>
            </w:pPr>
            <w:r w:rsidRPr="00D24309">
              <w:t>own role in relation to wider organisational or project context</w:t>
            </w:r>
          </w:p>
          <w:p w:rsidR="00000000" w:rsidRPr="00D24309" w:rsidP="00D24309">
            <w:pPr>
              <w:pStyle w:val="ListBullet"/>
            </w:pPr>
            <w:r w:rsidRPr="00D24309">
              <w:t>risk management as applied in a technical/engineering context, including principles, tools, techniques, standards and processes</w:t>
            </w:r>
          </w:p>
          <w:p w:rsidR="00000000" w:rsidRPr="00D24309" w:rsidP="00D24309">
            <w:pPr>
              <w:pStyle w:val="ListBullet"/>
            </w:pPr>
            <w:r w:rsidRPr="00D24309">
              <w:t>technical regulatory framework.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14" w:name="O_1267985"/>
      <w:bookmarkEnd w:id="14"/>
      <w:r w:rsidRPr="00D243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3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309" w:rsidP="00D24309">
            <w:pPr>
              <w:pStyle w:val="BodyText"/>
            </w:pPr>
            <w:r w:rsidRPr="00D24309">
              <w:t xml:space="preserve">Assessors must hold credentials specified within the </w:t>
            </w:r>
            <w:r w:rsidRPr="00D24309">
              <w:t xml:space="preserve">Standards for Registered Training Organisations current at the time of assessment. </w:t>
            </w:r>
          </w:p>
          <w:p w:rsidR="00000000" w:rsidRPr="00D24309" w:rsidP="00D24309">
            <w:pPr>
              <w:pStyle w:val="BodyText"/>
            </w:pPr>
            <w:r w:rsidRPr="00D24309">
              <w:t>Assessment must satisfy the Principles of Assessment and Rules of Evidence and all regulatory requirements included within the Standards for Registered Training Organisatio</w:t>
            </w:r>
            <w:r w:rsidRPr="00D24309">
              <w:t>ns current at the time of assessment.</w:t>
            </w:r>
          </w:p>
          <w:p w:rsidR="00000000" w:rsidRPr="00D24309" w:rsidP="00D24309">
            <w:pPr>
              <w:pStyle w:val="BodyText"/>
            </w:pPr>
            <w:r w:rsidRPr="00D24309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D24309">
              <w:t>nditions.</w:t>
            </w:r>
          </w:p>
          <w:p w:rsidR="00000000" w:rsidRPr="00D24309" w:rsidP="00D24309">
            <w:pPr>
              <w:pStyle w:val="BodyText"/>
            </w:pPr>
            <w:r w:rsidRPr="00D243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4309" w:rsidP="00D24309">
            <w:pPr>
              <w:pStyle w:val="BodyText"/>
            </w:pPr>
            <w:r w:rsidRPr="00D24309">
              <w:t>Resources for assessment must include access to:</w:t>
            </w:r>
          </w:p>
          <w:p w:rsidR="00000000" w:rsidRPr="00D24309" w:rsidP="00D24309">
            <w:pPr>
              <w:pStyle w:val="ListBullet"/>
            </w:pPr>
            <w:r w:rsidRPr="00D24309">
              <w:t>relevant and appropriate materials, tools, equipment and personal protective equipment currently used in industry</w:t>
            </w:r>
          </w:p>
          <w:p w:rsidR="00000000" w:rsidRPr="00D24309" w:rsidP="00D24309">
            <w:pPr>
              <w:pStyle w:val="ListBullet"/>
            </w:pPr>
            <w:r w:rsidRPr="00D24309">
              <w:t>applicable documentation including legislation, regulations, codes of practice, workplace procedures and operation manuals.</w:t>
            </w:r>
          </w:p>
        </w:tc>
      </w:tr>
    </w:tbl>
    <w:p w:rsidR="00000000" w:rsidRPr="00D24309" w:rsidP="00D24309">
      <w:pPr>
        <w:pStyle w:val="NoPaddingFontSize1"/>
      </w:pPr>
    </w:p>
    <w:p w:rsidR="00000000" w:rsidRPr="00D24309" w:rsidP="00D24309">
      <w:pPr>
        <w:pStyle w:val="AllowPageBreak"/>
      </w:pPr>
    </w:p>
    <w:p w:rsidR="00000000" w:rsidRPr="00D24309" w:rsidP="00D24309">
      <w:pPr>
        <w:pStyle w:val="Heading1"/>
      </w:pPr>
      <w:bookmarkStart w:id="15" w:name="O_1267988"/>
      <w:bookmarkEnd w:id="15"/>
      <w:r w:rsidRPr="00D24309">
        <w:t>Links</w:t>
      </w:r>
    </w:p>
    <w:p w:rsidR="00000000" w:rsidRPr="00D24309" w:rsidP="009E4D72">
      <w:pPr>
        <w:pStyle w:val="BodyText"/>
      </w:pPr>
      <w:r w:rsidRPr="00D243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6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309" w:rsidP="00D24309"/>
    <w:sectPr w:rsidSect="00D243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 w:rsidRPr="009E4D72" w:rsidP="009E4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72" w:rsidP="00D24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D72" w:rsidP="00D24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4D72" w:rsidP="00D243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 w:rsidP="00D24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4D72">
      <w:t>Approved</w:t>
    </w:r>
    <w:r w:rsidR="009E4D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4D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4D72">
      <w:rPr>
        <w:noProof/>
      </w:rPr>
      <w:t>4</w:t>
    </w:r>
    <w:r>
      <w:rPr>
        <w:noProof/>
      </w:rPr>
      <w:fldChar w:fldCharType="end"/>
    </w:r>
  </w:p>
  <w:p w:rsidR="00D24309" w:rsidP="00D24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4D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4D72">
      <w:t>Industry Skills Australia</w:t>
    </w:r>
    <w:r w:rsidR="009E4D72">
      <w:fldChar w:fldCharType="end"/>
    </w:r>
  </w:p>
  <w:p w:rsidR="00D24309" w:rsidP="00D24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309" w:rsidRPr="009E4D72" w:rsidP="009E4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72" w:rsidRPr="002D2AF8" w:rsidP="00D24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TLIX0053 Apply technical risk management systems 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4D72" w:rsidP="00D243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9" w:rsidRPr="002D2AF8" w:rsidP="00D24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4D72">
      <w:t>TLIX0053 Apply technical risk management systems and techniques</w:t>
    </w:r>
    <w:r w:rsidR="009E4D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4D72">
      <w:rPr>
        <w:noProof/>
      </w:rPr>
      <w:t>2 March 2025</w:t>
    </w:r>
    <w:r>
      <w:fldChar w:fldCharType="end"/>
    </w:r>
  </w:p>
  <w:p w:rsidR="00D24309" w:rsidP="00D24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46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AA4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309"/>
  </w:style>
  <w:style w:type="character" w:customStyle="1" w:styleId="Heading1Char">
    <w:name w:val="Heading 1 Char"/>
    <w:basedOn w:val="DefaultParagraphFont"/>
    <w:link w:val="Heading1"/>
    <w:rsid w:val="00D24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3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309"/>
    <w:rPr>
      <w:b/>
      <w:spacing w:val="0"/>
    </w:rPr>
  </w:style>
  <w:style w:type="paragraph" w:customStyle="1" w:styleId="SuperHeading">
    <w:name w:val="SuperHeading"/>
    <w:basedOn w:val="Normal"/>
    <w:rsid w:val="00D24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3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3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309"/>
    <w:rPr>
      <w:i/>
    </w:rPr>
  </w:style>
  <w:style w:type="paragraph" w:styleId="Caption">
    <w:name w:val="caption"/>
    <w:basedOn w:val="BodyText"/>
    <w:next w:val="Normal"/>
    <w:qFormat/>
    <w:rsid w:val="00D24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309"/>
  </w:style>
  <w:style w:type="paragraph" w:styleId="TableofFigures">
    <w:name w:val="table of figures"/>
    <w:basedOn w:val="Normal"/>
    <w:next w:val="Normal"/>
    <w:semiHidden/>
    <w:rsid w:val="00D24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3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309"/>
    <w:rPr>
      <w:rFonts w:ascii="Wingdings" w:hAnsi="Wingdings"/>
    </w:rPr>
  </w:style>
  <w:style w:type="paragraph" w:customStyle="1" w:styleId="TableHeading">
    <w:name w:val="Table Heading"/>
    <w:basedOn w:val="HeadingBase"/>
    <w:rsid w:val="00D24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309"/>
    <w:rPr>
      <w:color w:val="0033CC"/>
      <w:u w:val="none"/>
    </w:rPr>
  </w:style>
  <w:style w:type="paragraph" w:customStyle="1" w:styleId="BodyTextRight">
    <w:name w:val="Body Text Right"/>
    <w:basedOn w:val="BodyText"/>
    <w:rsid w:val="00D24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309"/>
    <w:rPr>
      <w:sz w:val="32"/>
    </w:rPr>
  </w:style>
  <w:style w:type="paragraph" w:customStyle="1" w:styleId="HeadingProcedure">
    <w:name w:val="Heading Procedure"/>
    <w:basedOn w:val="HeadingBase"/>
    <w:next w:val="Normal"/>
    <w:rsid w:val="00D24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309"/>
    <w:pPr>
      <w:spacing w:before="60" w:after="60"/>
    </w:pPr>
  </w:style>
  <w:style w:type="paragraph" w:styleId="ListContinue">
    <w:name w:val="List Continue"/>
    <w:basedOn w:val="List"/>
    <w:rsid w:val="00D24309"/>
    <w:pPr>
      <w:ind w:firstLine="0"/>
    </w:pPr>
  </w:style>
  <w:style w:type="paragraph" w:customStyle="1" w:styleId="ListNote">
    <w:name w:val="List Note"/>
    <w:basedOn w:val="List"/>
    <w:rsid w:val="00D24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309"/>
    <w:rPr>
      <w:rFonts w:ascii="Courier New" w:hAnsi="Courier New"/>
    </w:rPr>
  </w:style>
  <w:style w:type="paragraph" w:customStyle="1" w:styleId="NoteBullet">
    <w:name w:val="Note Bullet"/>
    <w:basedOn w:val="Note"/>
    <w:rsid w:val="00D24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3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309"/>
    <w:rPr>
      <w:b/>
      <w:smallCaps/>
    </w:rPr>
  </w:style>
  <w:style w:type="paragraph" w:customStyle="1" w:styleId="TableListNumber">
    <w:name w:val="Table List Number"/>
    <w:basedOn w:val="ListNumber"/>
    <w:rsid w:val="00D24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309"/>
    <w:pPr>
      <w:numPr>
        <w:numId w:val="8"/>
      </w:numPr>
    </w:pPr>
  </w:style>
  <w:style w:type="paragraph" w:customStyle="1" w:styleId="ListAlpha2">
    <w:name w:val="List Alpha 2"/>
    <w:basedOn w:val="List2"/>
    <w:rsid w:val="00D24309"/>
    <w:pPr>
      <w:numPr>
        <w:numId w:val="7"/>
      </w:numPr>
    </w:pPr>
  </w:style>
  <w:style w:type="paragraph" w:styleId="List2">
    <w:name w:val="List 2"/>
    <w:basedOn w:val="BodyText"/>
    <w:rsid w:val="00D24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3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309"/>
    <w:pPr>
      <w:numPr>
        <w:numId w:val="3"/>
      </w:numPr>
    </w:pPr>
  </w:style>
  <w:style w:type="paragraph" w:styleId="ListContinue2">
    <w:name w:val="List Continue 2"/>
    <w:basedOn w:val="List2"/>
    <w:rsid w:val="00D24309"/>
    <w:pPr>
      <w:ind w:firstLine="0"/>
    </w:pPr>
  </w:style>
  <w:style w:type="paragraph" w:styleId="ListContinue3">
    <w:name w:val="List Continue 3"/>
    <w:basedOn w:val="List3"/>
    <w:rsid w:val="00D24309"/>
    <w:pPr>
      <w:ind w:left="1021" w:firstLine="0"/>
    </w:pPr>
  </w:style>
  <w:style w:type="paragraph" w:styleId="ListContinue4">
    <w:name w:val="List Continue 4"/>
    <w:basedOn w:val="List4"/>
    <w:rsid w:val="00D24309"/>
    <w:pPr>
      <w:ind w:firstLine="0"/>
    </w:pPr>
  </w:style>
  <w:style w:type="paragraph" w:styleId="ListContinue5">
    <w:name w:val="List Continue 5"/>
    <w:basedOn w:val="List5"/>
    <w:rsid w:val="00D24309"/>
    <w:pPr>
      <w:ind w:firstLine="0"/>
    </w:pPr>
  </w:style>
  <w:style w:type="paragraph" w:styleId="ListNumber3">
    <w:name w:val="List Number 3"/>
    <w:basedOn w:val="List3"/>
    <w:rsid w:val="00D24309"/>
    <w:pPr>
      <w:numPr>
        <w:numId w:val="4"/>
      </w:numPr>
    </w:pPr>
  </w:style>
  <w:style w:type="paragraph" w:styleId="ListNumber4">
    <w:name w:val="List Number 4"/>
    <w:basedOn w:val="List4"/>
    <w:rsid w:val="00D24309"/>
    <w:pPr>
      <w:numPr>
        <w:numId w:val="5"/>
      </w:numPr>
    </w:pPr>
  </w:style>
  <w:style w:type="paragraph" w:styleId="ListNumber5">
    <w:name w:val="List Number 5"/>
    <w:basedOn w:val="List5"/>
    <w:rsid w:val="00D24309"/>
    <w:pPr>
      <w:numPr>
        <w:numId w:val="6"/>
      </w:numPr>
    </w:pPr>
  </w:style>
  <w:style w:type="paragraph" w:styleId="BlockText">
    <w:name w:val="Block Text"/>
    <w:basedOn w:val="Normal"/>
    <w:rsid w:val="00D24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309"/>
    <w:rPr>
      <w:sz w:val="16"/>
      <w:vertAlign w:val="superscript"/>
    </w:rPr>
  </w:style>
  <w:style w:type="character" w:customStyle="1" w:styleId="Symbols">
    <w:name w:val="Symbols"/>
    <w:basedOn w:val="DefaultParagraphFont"/>
    <w:rsid w:val="00D24309"/>
    <w:rPr>
      <w:rFonts w:ascii="Symbol" w:hAnsi="Symbol"/>
    </w:rPr>
  </w:style>
  <w:style w:type="character" w:customStyle="1" w:styleId="MenuOptions">
    <w:name w:val="Menu Options"/>
    <w:basedOn w:val="DefaultParagraphFont"/>
    <w:rsid w:val="00D24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309"/>
    <w:rPr>
      <w:b/>
    </w:rPr>
  </w:style>
  <w:style w:type="character" w:customStyle="1" w:styleId="Underlined">
    <w:name w:val="Underlined"/>
    <w:basedOn w:val="DefaultParagraphFont"/>
    <w:rsid w:val="00D24309"/>
    <w:rPr>
      <w:u w:val="single"/>
    </w:rPr>
  </w:style>
  <w:style w:type="paragraph" w:customStyle="1" w:styleId="TableBodyTextRight">
    <w:name w:val="Table Body Text Right"/>
    <w:basedOn w:val="TableBodyText"/>
    <w:rsid w:val="00D24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309"/>
    <w:rPr>
      <w:sz w:val="18"/>
    </w:rPr>
  </w:style>
  <w:style w:type="paragraph" w:customStyle="1" w:styleId="BodySmallRight">
    <w:name w:val="Body Small Right"/>
    <w:basedOn w:val="BodyTextRight"/>
    <w:rsid w:val="00D24309"/>
    <w:rPr>
      <w:sz w:val="18"/>
      <w:szCs w:val="18"/>
    </w:rPr>
  </w:style>
  <w:style w:type="paragraph" w:customStyle="1" w:styleId="MarginEdition">
    <w:name w:val="Margin Edition"/>
    <w:basedOn w:val="MarginNote"/>
    <w:rsid w:val="00D24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309"/>
    <w:rPr>
      <w:sz w:val="2"/>
      <w:szCs w:val="2"/>
    </w:rPr>
  </w:style>
  <w:style w:type="character" w:customStyle="1" w:styleId="Small">
    <w:name w:val="Small"/>
    <w:basedOn w:val="DefaultParagraphFont"/>
    <w:rsid w:val="00D24309"/>
    <w:rPr>
      <w:sz w:val="16"/>
    </w:rPr>
  </w:style>
  <w:style w:type="paragraph" w:customStyle="1" w:styleId="WideTable">
    <w:name w:val="Wide Table"/>
    <w:basedOn w:val="Normal"/>
    <w:rsid w:val="00D24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309"/>
  </w:style>
  <w:style w:type="paragraph" w:styleId="Quote">
    <w:name w:val="Quote"/>
    <w:basedOn w:val="Heading1"/>
    <w:link w:val="QuoteChar"/>
    <w:qFormat/>
    <w:rsid w:val="00D24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309"/>
    <w:pPr>
      <w:pageBreakBefore/>
    </w:pPr>
  </w:style>
  <w:style w:type="paragraph" w:customStyle="1" w:styleId="Border">
    <w:name w:val="Border"/>
    <w:basedOn w:val="Normal"/>
    <w:qFormat/>
    <w:rsid w:val="00D24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309"/>
    <w:rPr>
      <w:u w:val="single"/>
    </w:rPr>
  </w:style>
  <w:style w:type="character" w:customStyle="1" w:styleId="BoldandItalics">
    <w:name w:val="Bold and Italics"/>
    <w:qFormat/>
    <w:rsid w:val="00D24309"/>
    <w:rPr>
      <w:b/>
      <w:i/>
      <w:u w:val="none"/>
    </w:rPr>
  </w:style>
  <w:style w:type="paragraph" w:styleId="BalloonText">
    <w:name w:val="Balloon Text"/>
    <w:basedOn w:val="Normal"/>
    <w:link w:val="BalloonTextChar"/>
    <w:rsid w:val="00D24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309"/>
    <w:pPr>
      <w:spacing w:before="0" w:after="0"/>
    </w:pPr>
  </w:style>
  <w:style w:type="paragraph" w:customStyle="1" w:styleId="BodyTextBold">
    <w:name w:val="Body Text Bold"/>
    <w:basedOn w:val="BodyText"/>
    <w:qFormat/>
    <w:rsid w:val="00D24309"/>
    <w:rPr>
      <w:b/>
    </w:rPr>
  </w:style>
  <w:style w:type="character" w:styleId="Hyperlink">
    <w:name w:val="Hyperlink"/>
    <w:basedOn w:val="DefaultParagraphFont"/>
    <w:uiPriority w:val="99"/>
    <w:unhideWhenUsed/>
    <w:rsid w:val="009E4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6000</Characters>
  <Application>Microsoft Office Word</Application>
  <DocSecurity>0</DocSecurity>
  <Lines>206</Lines>
  <Paragraphs>109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TLIX0053 Apply technical risk management systems and techniques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