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79D" w:rsidP="00896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TLIX0052 Apply technical regulatory framework compliance management systems</w:t>
      </w:r>
      <w:r>
        <w:fldChar w:fldCharType="end"/>
      </w:r>
    </w:p>
    <w:p w:rsidR="0089679D" w:rsidP="0089679D">
      <w:pPr>
        <w:pStyle w:val="Version"/>
        <w:sectPr w:rsidSect="00790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0B0" w:rsidP="007900B0">
      <w:pPr>
        <w:pStyle w:val="SuperHeading"/>
      </w:pPr>
      <w:r w:rsidRPr="007900B0">
        <w:t>TLIX0052 Apply technical regulatory framework compliance management systems</w:t>
      </w:r>
    </w:p>
    <w:p w:rsidR="00000000" w:rsidRPr="007900B0" w:rsidP="007900B0">
      <w:pPr>
        <w:pStyle w:val="Heading1"/>
      </w:pPr>
      <w:bookmarkStart w:id="1" w:name="O_1267953"/>
      <w:bookmarkEnd w:id="1"/>
      <w:r w:rsidRPr="007900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rPr>
                <w:rStyle w:val="SpecialBold"/>
              </w:rPr>
              <w:t>Release 1.</w:t>
            </w:r>
            <w:r w:rsidRPr="007900B0">
              <w:t xml:space="preserve"> This is the first release of this unit of competency in the TLI Transport and Logistics Training Package.</w:t>
            </w:r>
          </w:p>
        </w:tc>
      </w:tr>
    </w:tbl>
    <w:p w:rsidR="00000000" w:rsidRPr="007900B0" w:rsidP="007900B0">
      <w:pPr>
        <w:pStyle w:val="NoPaddingFontSize1"/>
      </w:pPr>
    </w:p>
    <w:p w:rsidR="00000000" w:rsidRPr="007900B0" w:rsidP="007900B0">
      <w:pPr>
        <w:pStyle w:val="AllowPageBreak"/>
      </w:pPr>
    </w:p>
    <w:p w:rsidR="00000000" w:rsidRPr="007900B0" w:rsidP="007900B0">
      <w:pPr>
        <w:pStyle w:val="Heading1"/>
      </w:pPr>
      <w:bookmarkStart w:id="2" w:name="O_1267954"/>
      <w:bookmarkEnd w:id="2"/>
      <w:r w:rsidRPr="007900B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t xml:space="preserve">This unit involves the skills and knowledge required to apply technical regulatory framework compliance management systems. </w:t>
            </w:r>
          </w:p>
          <w:p w:rsidR="00000000" w:rsidRPr="007900B0" w:rsidP="007900B0">
            <w:pPr>
              <w:pStyle w:val="BodyText"/>
            </w:pPr>
            <w:r w:rsidRPr="007900B0">
              <w:t xml:space="preserve">It includes preparing for compliance roles and responsibilities and applying technical compliance management systems.  </w:t>
            </w:r>
            <w:r w:rsidRPr="007900B0">
              <w:t>It also includes validating individual application of technical compliance management processes and procedures established by an organisation to fulfil its obligations and responsibilities under applicable compliance requirements.</w:t>
            </w:r>
          </w:p>
          <w:p w:rsidR="00000000" w:rsidRPr="007900B0" w:rsidP="007900B0">
            <w:pPr>
              <w:pStyle w:val="BodyText"/>
            </w:pPr>
            <w:r w:rsidRPr="007900B0">
              <w:t>This unit was developed f</w:t>
            </w:r>
            <w:r w:rsidRPr="007900B0">
              <w:t xml:space="preserve">or technical regulatory framework specialists working within materiel logistics but may be applicable to individuals in broader logistics roles. </w:t>
            </w:r>
          </w:p>
          <w:p w:rsidR="00000000" w:rsidRPr="007900B0" w:rsidP="007900B0">
            <w:pPr>
              <w:pStyle w:val="BodyText"/>
            </w:pPr>
            <w:r w:rsidRPr="007900B0">
              <w:t>Individuals work independently or as part of a team under direct or indirect supervision, use discretion and j</w:t>
            </w:r>
            <w:r w:rsidRPr="007900B0">
              <w:t>udgement, and take responsibility for the quality of their outputs. All activities are carried out in accordance with relevant organisational policy and procedures.</w:t>
            </w:r>
          </w:p>
          <w:p w:rsidR="00000000" w:rsidRPr="007900B0" w:rsidP="007900B0">
            <w:pPr>
              <w:pStyle w:val="BodyText"/>
            </w:pPr>
            <w:r w:rsidRPr="007900B0">
              <w:t>No licensing, legislative or certification requirements apply to this unit at the time of p</w:t>
            </w:r>
            <w:r w:rsidRPr="007900B0">
              <w:t>ublication.</w:t>
            </w:r>
          </w:p>
        </w:tc>
      </w:tr>
    </w:tbl>
    <w:p w:rsidR="00000000" w:rsidRPr="007900B0" w:rsidP="007900B0">
      <w:pPr>
        <w:pStyle w:val="NoPaddingFontSize1"/>
      </w:pPr>
    </w:p>
    <w:p w:rsidR="00000000" w:rsidRPr="007900B0" w:rsidP="007900B0">
      <w:pPr>
        <w:pStyle w:val="AllowPageBreak"/>
      </w:pPr>
    </w:p>
    <w:p w:rsidR="00000000" w:rsidRPr="007900B0" w:rsidP="007900B0">
      <w:pPr>
        <w:pStyle w:val="Heading1"/>
      </w:pPr>
      <w:bookmarkStart w:id="3" w:name="O_1267955"/>
      <w:bookmarkEnd w:id="3"/>
      <w:r w:rsidRPr="007900B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t>Not applicable.</w:t>
            </w:r>
          </w:p>
        </w:tc>
      </w:tr>
    </w:tbl>
    <w:p w:rsidR="00000000" w:rsidRPr="007900B0" w:rsidP="007900B0">
      <w:pPr>
        <w:pStyle w:val="NoPaddingFontSize1"/>
      </w:pPr>
    </w:p>
    <w:p w:rsidR="00000000" w:rsidRPr="007900B0" w:rsidP="007900B0">
      <w:pPr>
        <w:pStyle w:val="AllowPageBreak"/>
      </w:pPr>
    </w:p>
    <w:p w:rsidR="00000000" w:rsidRPr="007900B0" w:rsidP="007900B0">
      <w:pPr>
        <w:pStyle w:val="Heading1"/>
      </w:pPr>
      <w:bookmarkStart w:id="4" w:name="O_1267956"/>
      <w:bookmarkEnd w:id="4"/>
      <w:r w:rsidRPr="007900B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t>X – Logistics</w:t>
            </w:r>
          </w:p>
        </w:tc>
      </w:tr>
    </w:tbl>
    <w:p w:rsidR="00000000" w:rsidRPr="007900B0" w:rsidP="007900B0">
      <w:pPr>
        <w:pStyle w:val="NoPaddingFontSize1"/>
      </w:pPr>
    </w:p>
    <w:p w:rsidR="00000000" w:rsidRPr="007900B0" w:rsidP="007900B0">
      <w:pPr>
        <w:pStyle w:val="AllowPageBreak"/>
      </w:pPr>
    </w:p>
    <w:p w:rsidR="00000000" w:rsidRPr="007900B0" w:rsidP="007900B0">
      <w:pPr>
        <w:pStyle w:val="Heading1"/>
      </w:pPr>
      <w:bookmarkStart w:id="5" w:name="O_1267957"/>
      <w:bookmarkEnd w:id="5"/>
      <w:r w:rsidRPr="007900B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t>Not applicable.</w:t>
            </w:r>
          </w:p>
        </w:tc>
      </w:tr>
    </w:tbl>
    <w:p w:rsidR="00000000" w:rsidRPr="007900B0" w:rsidP="007900B0">
      <w:pPr>
        <w:pStyle w:val="NoPaddingFontSize1"/>
      </w:pPr>
    </w:p>
    <w:p w:rsidR="00000000" w:rsidRPr="007900B0" w:rsidP="007900B0">
      <w:pPr>
        <w:pStyle w:val="AllowPageBreak"/>
      </w:pPr>
    </w:p>
    <w:p w:rsidR="00000000" w:rsidRPr="007900B0" w:rsidP="007900B0">
      <w:pPr>
        <w:pStyle w:val="Heading1"/>
      </w:pPr>
      <w:bookmarkStart w:id="6" w:name="O_1267958"/>
      <w:bookmarkEnd w:id="6"/>
      <w:r w:rsidRPr="007900B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79"/>
        <w:gridCol w:w="3326"/>
        <w:gridCol w:w="1331"/>
        <w:gridCol w:w="4162"/>
      </w:tblGrid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Elements describe the essential outcomes.</w:t>
            </w:r>
          </w:p>
        </w:tc>
        <w:tc>
          <w:tcPr>
            <w:tcW w:w="54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Performance criteria describe the performance needed to demonstrate achievement of the element.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rPr>
                <w:rStyle w:val="SpecialBold"/>
              </w:rPr>
              <w:t>1</w:t>
            </w: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rPr>
                <w:rStyle w:val="SpecialBold"/>
              </w:rPr>
              <w:t>Prepare for compliance roles and responsibilities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1.1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Structure of the organisation is examined to identify roles, authorities, accountabilities and responsibilities of various managers and operational staff, in maintaining compliance within the technical regulatory framework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>
            <w:pPr>
              <w:pStyle w:val="BodyText"/>
              <w:keepLines w:val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1.2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Technical regulatory frame</w:t>
            </w:r>
            <w:r w:rsidRPr="007900B0">
              <w:t>work compliance requirements applicable to work area or operational unit are identified, confirmed and interpreted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>
            <w:pPr>
              <w:pStyle w:val="BodyText"/>
              <w:keepLines w:val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1.3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Responsibilities of relevant personnel are identified and clarified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>
            <w:pPr>
              <w:pStyle w:val="BodyText"/>
              <w:keepLines w:val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1.4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Feedback and performance indicators on the operation of the technical compliance management processes and procedures are reviewed and agreed with appropriate personnel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>
            <w:pPr>
              <w:pStyle w:val="BodyText"/>
              <w:keepLines w:val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1.5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Appropriate briefings and training are participated in to ensure jobholder is awa</w:t>
            </w:r>
            <w:r w:rsidRPr="007900B0">
              <w:t>re of roles and responsibilities within planned technical regulatory framework compliance management system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rPr>
                <w:rStyle w:val="SpecialBold"/>
              </w:rPr>
              <w:t>2</w:t>
            </w: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rPr>
                <w:rStyle w:val="SpecialBold"/>
              </w:rPr>
              <w:t>Apply technical compliance management system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2.1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Technical regulatory framework components of technical compliance management system are confirme</w:t>
            </w:r>
            <w:r w:rsidRPr="007900B0">
              <w:t>d, and authorised procedures for their implementation are clarified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>
            <w:pPr>
              <w:pStyle w:val="BodyText"/>
              <w:keepLines w:val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2.2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Resources for applying technical regulatory framework compliance management system are accessed and utilised in accordance with organisational policy and procedures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>
            <w:pPr>
              <w:pStyle w:val="BodyText"/>
              <w:keepLines w:val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2.3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Implementation plan and schedule are accessed and applied in collaboration with appropriate personnel, in accordance with relevant technical regulatory framework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>
            <w:pPr>
              <w:pStyle w:val="BodyText"/>
              <w:keepLines w:val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2.4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Essential technical regulatory framework preconditions for any duty, function or activi</w:t>
            </w:r>
            <w:r w:rsidRPr="007900B0">
              <w:t xml:space="preserve">ty are confirmed before proceeding </w:t>
            </w:r>
            <w:r w:rsidRPr="007900B0">
              <w:t>with designated or assigned work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rPr>
                <w:rStyle w:val="SpecialBold"/>
              </w:rPr>
              <w:t>3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rPr>
                <w:rStyle w:val="SpecialBold"/>
              </w:rPr>
              <w:t>Validate individual application of technical compliance management processes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3.1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Responsibilities within technical compliance management system are identified and gathered from appropri</w:t>
            </w:r>
            <w:r w:rsidRPr="007900B0">
              <w:t>ate sources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>
            <w:pPr>
              <w:pStyle w:val="BodyText"/>
              <w:keepLines w:val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3.2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Feedback and performance indicator satisfaction data is prepared, reviewed and processed in accordance with agreed workplace practices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>
            <w:pPr>
              <w:pStyle w:val="BodyText"/>
              <w:keepLines w:val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3.3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Problems in applying technical compliance management system and in particular, breach of compliance requirements, are identified and appropriate action is initiated to address problems concerned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>
            <w:pPr>
              <w:pStyle w:val="BodyText"/>
              <w:keepLines w:val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3.4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t>Reports on identified breaches of compliance</w:t>
            </w:r>
            <w:r w:rsidRPr="007900B0">
              <w:t xml:space="preserve"> requirements and related action taken are prepared and processed to responsible authority or stakeholders</w:t>
            </w:r>
          </w:p>
        </w:tc>
      </w:tr>
      <w:tr w:rsidTr="00790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>
            <w:pPr>
              <w:pStyle w:val="BodyText"/>
              <w:keepLines w:val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0B0">
            <w:pPr>
              <w:pStyle w:val="BodyText"/>
              <w:rPr>
                <w:lang w:val="en-NZ"/>
              </w:rPr>
            </w:pPr>
            <w:r w:rsidRPr="007900B0">
              <w:rPr>
                <w:rStyle w:val="SpecialBold"/>
              </w:rPr>
              <w:t>3.5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t>Records of technical regulatory framework activities are maintained in accordance with approved systems requirements</w:t>
            </w:r>
          </w:p>
        </w:tc>
      </w:tr>
    </w:tbl>
    <w:p w:rsidR="00000000" w:rsidRPr="007900B0" w:rsidP="007900B0">
      <w:pPr>
        <w:pStyle w:val="NoPaddingFontSize1"/>
      </w:pPr>
    </w:p>
    <w:p w:rsidR="00000000" w:rsidRPr="007900B0" w:rsidP="007900B0">
      <w:pPr>
        <w:pStyle w:val="AllowPageBreak"/>
      </w:pPr>
    </w:p>
    <w:p w:rsidR="00000000" w:rsidRPr="007900B0" w:rsidP="007900B0">
      <w:pPr>
        <w:pStyle w:val="Heading1"/>
      </w:pPr>
      <w:bookmarkStart w:id="7" w:name="O_1267959"/>
      <w:bookmarkEnd w:id="7"/>
      <w:r w:rsidRPr="007900B0">
        <w:t>Foun</w:t>
      </w:r>
      <w:r w:rsidRPr="007900B0">
        <w:t>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t>Foundation skills essential to performance are explicit in the performance criteria of this unit of competency.</w:t>
            </w:r>
          </w:p>
        </w:tc>
      </w:tr>
    </w:tbl>
    <w:p w:rsidR="00000000" w:rsidRPr="007900B0" w:rsidP="007900B0">
      <w:pPr>
        <w:pStyle w:val="NoPaddingFontSize1"/>
      </w:pPr>
    </w:p>
    <w:p w:rsidR="00000000" w:rsidRPr="007900B0" w:rsidP="007900B0">
      <w:pPr>
        <w:pStyle w:val="AllowPageBreak"/>
      </w:pPr>
    </w:p>
    <w:p w:rsidR="00000000" w:rsidRPr="007900B0" w:rsidP="007900B0">
      <w:pPr>
        <w:pStyle w:val="Heading1"/>
      </w:pPr>
      <w:bookmarkStart w:id="8" w:name="O_1267960"/>
      <w:bookmarkEnd w:id="8"/>
      <w:r w:rsidRPr="007900B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t>Range is restricted to essential operating conditions and any other variables essential to the work environment.</w:t>
            </w:r>
          </w:p>
          <w:p w:rsidR="00000000" w:rsidRPr="007900B0" w:rsidP="007900B0">
            <w:pPr>
              <w:pStyle w:val="BodyText"/>
            </w:pPr>
            <w:r w:rsidRPr="007900B0">
              <w:t>Non-essential conditions can be found in the Companion Volume Implementation Guide.</w:t>
            </w:r>
          </w:p>
        </w:tc>
      </w:tr>
    </w:tbl>
    <w:p w:rsidR="00000000" w:rsidRPr="007900B0" w:rsidP="007900B0">
      <w:pPr>
        <w:pStyle w:val="NoPaddingFontSize1"/>
      </w:pPr>
    </w:p>
    <w:p w:rsidR="00000000" w:rsidRPr="007900B0" w:rsidP="007900B0">
      <w:pPr>
        <w:pStyle w:val="AllowPageBreak"/>
      </w:pPr>
    </w:p>
    <w:p w:rsidR="00000000" w:rsidRPr="007900B0" w:rsidP="007900B0">
      <w:pPr>
        <w:pStyle w:val="Heading1"/>
      </w:pPr>
      <w:bookmarkStart w:id="9" w:name="O_1267961"/>
      <w:bookmarkEnd w:id="9"/>
      <w:r w:rsidRPr="007900B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0B0" w:rsidP="007900B0">
            <w:pPr>
              <w:pStyle w:val="BodyText"/>
            </w:pPr>
            <w:r w:rsidRPr="007900B0">
              <w:t>This unit rep</w:t>
            </w:r>
            <w:r w:rsidRPr="007900B0">
              <w:t>laces and is equivalent to TLIX4033 Apply technical regulatory framework compliance management systems.</w:t>
            </w:r>
          </w:p>
        </w:tc>
      </w:tr>
    </w:tbl>
    <w:p w:rsidR="00000000" w:rsidRPr="007900B0" w:rsidP="007900B0">
      <w:pPr>
        <w:pStyle w:val="NoPaddingFontSize1"/>
      </w:pPr>
    </w:p>
    <w:p w:rsidR="00000000" w:rsidRPr="007900B0" w:rsidP="007900B0">
      <w:pPr>
        <w:pStyle w:val="AllowPageBreak"/>
      </w:pPr>
    </w:p>
    <w:p w:rsidR="00000000" w:rsidRPr="007900B0" w:rsidP="007900B0">
      <w:pPr>
        <w:pStyle w:val="Heading1"/>
      </w:pPr>
      <w:bookmarkStart w:id="10" w:name="O_1267968"/>
      <w:bookmarkEnd w:id="10"/>
      <w:r w:rsidRPr="007900B0">
        <w:t>Links</w:t>
      </w:r>
    </w:p>
    <w:p w:rsidR="00000000" w:rsidRPr="007900B0" w:rsidP="0089679D">
      <w:pPr>
        <w:pStyle w:val="BodyText"/>
      </w:pPr>
      <w:r w:rsidRPr="007900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A0D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900B0" w:rsidP="007900B0"/>
    <w:sectPr w:rsidSect="007900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B0" w:rsidRPr="0089679D" w:rsidP="00896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79D" w:rsidP="00790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679D" w:rsidP="00790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9679D" w:rsidP="00790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0B0" w:rsidRPr="0089679D" w:rsidP="00896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79D" w:rsidRPr="002D2AF8" w:rsidP="00790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TLIX0052 Apply technical regulatory framework compliance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9679D" w:rsidP="00790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0B0"/>
  </w:style>
  <w:style w:type="character" w:customStyle="1" w:styleId="Heading1Char">
    <w:name w:val="Heading 1 Char"/>
    <w:basedOn w:val="DefaultParagraphFont"/>
    <w:link w:val="Heading1"/>
    <w:rsid w:val="00790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0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0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00B0"/>
    <w:rPr>
      <w:b/>
      <w:spacing w:val="0"/>
    </w:rPr>
  </w:style>
  <w:style w:type="paragraph" w:customStyle="1" w:styleId="SuperHeading">
    <w:name w:val="SuperHeading"/>
    <w:basedOn w:val="Normal"/>
    <w:rsid w:val="00790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0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0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0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00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0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00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0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0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00B0"/>
    <w:rPr>
      <w:i/>
    </w:rPr>
  </w:style>
  <w:style w:type="paragraph" w:styleId="Caption">
    <w:name w:val="caption"/>
    <w:basedOn w:val="BodyText"/>
    <w:next w:val="Normal"/>
    <w:qFormat/>
    <w:rsid w:val="00790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0B0"/>
  </w:style>
  <w:style w:type="paragraph" w:styleId="TableofFigures">
    <w:name w:val="table of figures"/>
    <w:basedOn w:val="Normal"/>
    <w:next w:val="Normal"/>
    <w:semiHidden/>
    <w:rsid w:val="00790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0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00B0"/>
    <w:rPr>
      <w:rFonts w:ascii="Wingdings" w:hAnsi="Wingdings"/>
    </w:rPr>
  </w:style>
  <w:style w:type="paragraph" w:customStyle="1" w:styleId="TableHeading">
    <w:name w:val="Table Heading"/>
    <w:basedOn w:val="HeadingBase"/>
    <w:rsid w:val="007900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0B0"/>
    <w:rPr>
      <w:color w:val="0033CC"/>
      <w:u w:val="none"/>
    </w:rPr>
  </w:style>
  <w:style w:type="paragraph" w:customStyle="1" w:styleId="BodyTextRight">
    <w:name w:val="Body Text Right"/>
    <w:basedOn w:val="BodyText"/>
    <w:rsid w:val="00790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0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0B0"/>
    <w:rPr>
      <w:sz w:val="32"/>
    </w:rPr>
  </w:style>
  <w:style w:type="paragraph" w:customStyle="1" w:styleId="HeadingProcedure">
    <w:name w:val="Heading Procedure"/>
    <w:basedOn w:val="HeadingBase"/>
    <w:next w:val="Normal"/>
    <w:rsid w:val="00790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0B0"/>
    <w:pPr>
      <w:spacing w:before="60" w:after="60"/>
    </w:pPr>
  </w:style>
  <w:style w:type="paragraph" w:styleId="ListContinue">
    <w:name w:val="List Continue"/>
    <w:basedOn w:val="List"/>
    <w:rsid w:val="007900B0"/>
    <w:pPr>
      <w:ind w:firstLine="0"/>
    </w:pPr>
  </w:style>
  <w:style w:type="paragraph" w:customStyle="1" w:styleId="ListNote">
    <w:name w:val="List Note"/>
    <w:basedOn w:val="List"/>
    <w:rsid w:val="00790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0B0"/>
    <w:rPr>
      <w:rFonts w:ascii="Courier New" w:hAnsi="Courier New"/>
    </w:rPr>
  </w:style>
  <w:style w:type="paragraph" w:customStyle="1" w:styleId="NoteBullet">
    <w:name w:val="Note Bullet"/>
    <w:basedOn w:val="Note"/>
    <w:rsid w:val="00790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0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0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0B0"/>
    <w:rPr>
      <w:b/>
      <w:smallCaps/>
    </w:rPr>
  </w:style>
  <w:style w:type="paragraph" w:customStyle="1" w:styleId="TableListNumber">
    <w:name w:val="Table List Number"/>
    <w:basedOn w:val="ListNumber"/>
    <w:rsid w:val="00790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0B0"/>
    <w:pPr>
      <w:numPr>
        <w:numId w:val="7"/>
      </w:numPr>
    </w:pPr>
  </w:style>
  <w:style w:type="paragraph" w:customStyle="1" w:styleId="ListAlpha2">
    <w:name w:val="List Alpha 2"/>
    <w:basedOn w:val="List2"/>
    <w:rsid w:val="007900B0"/>
    <w:pPr>
      <w:numPr>
        <w:numId w:val="6"/>
      </w:numPr>
    </w:pPr>
  </w:style>
  <w:style w:type="paragraph" w:styleId="List2">
    <w:name w:val="List 2"/>
    <w:basedOn w:val="BodyText"/>
    <w:rsid w:val="007900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0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0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0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00B0"/>
    <w:pPr>
      <w:numPr>
        <w:numId w:val="2"/>
      </w:numPr>
    </w:pPr>
  </w:style>
  <w:style w:type="paragraph" w:styleId="ListContinue2">
    <w:name w:val="List Continue 2"/>
    <w:basedOn w:val="List2"/>
    <w:rsid w:val="007900B0"/>
    <w:pPr>
      <w:ind w:firstLine="0"/>
    </w:pPr>
  </w:style>
  <w:style w:type="paragraph" w:styleId="ListContinue3">
    <w:name w:val="List Continue 3"/>
    <w:basedOn w:val="List3"/>
    <w:rsid w:val="007900B0"/>
    <w:pPr>
      <w:ind w:left="1021" w:firstLine="0"/>
    </w:pPr>
  </w:style>
  <w:style w:type="paragraph" w:styleId="ListContinue4">
    <w:name w:val="List Continue 4"/>
    <w:basedOn w:val="List4"/>
    <w:rsid w:val="007900B0"/>
    <w:pPr>
      <w:ind w:firstLine="0"/>
    </w:pPr>
  </w:style>
  <w:style w:type="paragraph" w:styleId="ListContinue5">
    <w:name w:val="List Continue 5"/>
    <w:basedOn w:val="List5"/>
    <w:rsid w:val="007900B0"/>
    <w:pPr>
      <w:ind w:firstLine="0"/>
    </w:pPr>
  </w:style>
  <w:style w:type="paragraph" w:styleId="ListNumber3">
    <w:name w:val="List Number 3"/>
    <w:basedOn w:val="List3"/>
    <w:rsid w:val="007900B0"/>
    <w:pPr>
      <w:numPr>
        <w:numId w:val="3"/>
      </w:numPr>
    </w:pPr>
  </w:style>
  <w:style w:type="paragraph" w:styleId="ListNumber4">
    <w:name w:val="List Number 4"/>
    <w:basedOn w:val="List4"/>
    <w:rsid w:val="007900B0"/>
    <w:pPr>
      <w:numPr>
        <w:numId w:val="4"/>
      </w:numPr>
    </w:pPr>
  </w:style>
  <w:style w:type="paragraph" w:styleId="ListNumber5">
    <w:name w:val="List Number 5"/>
    <w:basedOn w:val="List5"/>
    <w:rsid w:val="007900B0"/>
    <w:pPr>
      <w:numPr>
        <w:numId w:val="5"/>
      </w:numPr>
    </w:pPr>
  </w:style>
  <w:style w:type="paragraph" w:styleId="BlockText">
    <w:name w:val="Block Text"/>
    <w:basedOn w:val="Normal"/>
    <w:rsid w:val="00790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0B0"/>
    <w:rPr>
      <w:sz w:val="16"/>
      <w:vertAlign w:val="superscript"/>
    </w:rPr>
  </w:style>
  <w:style w:type="character" w:customStyle="1" w:styleId="Symbols">
    <w:name w:val="Symbols"/>
    <w:basedOn w:val="DefaultParagraphFont"/>
    <w:rsid w:val="007900B0"/>
    <w:rPr>
      <w:rFonts w:ascii="Symbol" w:hAnsi="Symbol"/>
    </w:rPr>
  </w:style>
  <w:style w:type="character" w:customStyle="1" w:styleId="MenuOptions">
    <w:name w:val="Menu Options"/>
    <w:basedOn w:val="DefaultParagraphFont"/>
    <w:rsid w:val="00790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0B0"/>
    <w:rPr>
      <w:b/>
    </w:rPr>
  </w:style>
  <w:style w:type="character" w:customStyle="1" w:styleId="Underlined">
    <w:name w:val="Underlined"/>
    <w:basedOn w:val="DefaultParagraphFont"/>
    <w:rsid w:val="007900B0"/>
    <w:rPr>
      <w:u w:val="single"/>
    </w:rPr>
  </w:style>
  <w:style w:type="paragraph" w:customStyle="1" w:styleId="TableBodyTextRight">
    <w:name w:val="Table Body Text Right"/>
    <w:basedOn w:val="TableBodyText"/>
    <w:rsid w:val="00790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0B0"/>
    <w:rPr>
      <w:sz w:val="18"/>
    </w:rPr>
  </w:style>
  <w:style w:type="paragraph" w:customStyle="1" w:styleId="BodySmallRight">
    <w:name w:val="Body Small Right"/>
    <w:basedOn w:val="BodyTextRight"/>
    <w:rsid w:val="007900B0"/>
    <w:rPr>
      <w:sz w:val="18"/>
      <w:szCs w:val="18"/>
    </w:rPr>
  </w:style>
  <w:style w:type="paragraph" w:customStyle="1" w:styleId="MarginEdition">
    <w:name w:val="Margin Edition"/>
    <w:basedOn w:val="MarginNote"/>
    <w:rsid w:val="00790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0B0"/>
    <w:rPr>
      <w:sz w:val="2"/>
      <w:szCs w:val="2"/>
    </w:rPr>
  </w:style>
  <w:style w:type="character" w:customStyle="1" w:styleId="Small">
    <w:name w:val="Small"/>
    <w:basedOn w:val="DefaultParagraphFont"/>
    <w:rsid w:val="007900B0"/>
    <w:rPr>
      <w:sz w:val="16"/>
    </w:rPr>
  </w:style>
  <w:style w:type="paragraph" w:customStyle="1" w:styleId="WideTable">
    <w:name w:val="Wide Table"/>
    <w:basedOn w:val="Normal"/>
    <w:rsid w:val="00790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0B0"/>
  </w:style>
  <w:style w:type="paragraph" w:styleId="Quote">
    <w:name w:val="Quote"/>
    <w:basedOn w:val="Heading1"/>
    <w:link w:val="QuoteChar"/>
    <w:qFormat/>
    <w:rsid w:val="00790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0B0"/>
    <w:pPr>
      <w:pageBreakBefore/>
    </w:pPr>
  </w:style>
  <w:style w:type="paragraph" w:customStyle="1" w:styleId="Border">
    <w:name w:val="Border"/>
    <w:basedOn w:val="Normal"/>
    <w:qFormat/>
    <w:rsid w:val="00790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0B0"/>
    <w:rPr>
      <w:u w:val="single"/>
    </w:rPr>
  </w:style>
  <w:style w:type="character" w:customStyle="1" w:styleId="BoldandItalics">
    <w:name w:val="Bold and Italics"/>
    <w:qFormat/>
    <w:rsid w:val="007900B0"/>
    <w:rPr>
      <w:b/>
      <w:i/>
      <w:u w:val="none"/>
    </w:rPr>
  </w:style>
  <w:style w:type="paragraph" w:styleId="BalloonText">
    <w:name w:val="Balloon Text"/>
    <w:basedOn w:val="Normal"/>
    <w:link w:val="BalloonTextChar"/>
    <w:rsid w:val="00790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0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0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0B0"/>
    <w:pPr>
      <w:spacing w:before="0" w:after="0"/>
    </w:pPr>
  </w:style>
  <w:style w:type="paragraph" w:customStyle="1" w:styleId="BodyTextBold">
    <w:name w:val="Body Text Bold"/>
    <w:basedOn w:val="BodyText"/>
    <w:qFormat/>
    <w:rsid w:val="007900B0"/>
    <w:rPr>
      <w:b/>
    </w:rPr>
  </w:style>
  <w:style w:type="character" w:styleId="Hyperlink">
    <w:name w:val="Hyperlink"/>
    <w:basedOn w:val="DefaultParagraphFont"/>
    <w:uiPriority w:val="99"/>
    <w:unhideWhenUsed/>
    <w:rsid w:val="00896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4243</Characters>
  <Application>Microsoft Office Word</Application>
  <DocSecurity>0</DocSecurity>
  <Lines>184</Lines>
  <Paragraphs>74</Paragraphs>
  <ScaleCrop>false</ScaleCrop>
  <Company>Author-it Software Corporation Ltd.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TLIX0052 Apply technical regulatory framework compliance management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