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290" w:rsidP="00862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TLIX0052 Apply technical regulatory framework compliance management systems</w:t>
      </w:r>
      <w:r>
        <w:fldChar w:fldCharType="end"/>
      </w:r>
    </w:p>
    <w:p w:rsidR="00862290" w:rsidP="00862290">
      <w:pPr>
        <w:pStyle w:val="Version"/>
        <w:sectPr w:rsidSect="006D0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A66" w:rsidP="006D0A66">
      <w:pPr>
        <w:pStyle w:val="SuperHeading"/>
      </w:pPr>
      <w:r w:rsidRPr="006D0A66">
        <w:t>TLIX0052 Apply technical regulatory framework compliance management systems</w:t>
      </w:r>
    </w:p>
    <w:p w:rsidR="00000000" w:rsidRPr="006D0A66" w:rsidP="006D0A66">
      <w:pPr>
        <w:pStyle w:val="Heading1"/>
      </w:pPr>
      <w:bookmarkStart w:id="1" w:name="O_1267953"/>
      <w:bookmarkEnd w:id="1"/>
      <w:r w:rsidRPr="006D0A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rPr>
                <w:rStyle w:val="SpecialBold"/>
              </w:rPr>
              <w:t>Release 1.</w:t>
            </w:r>
            <w:r w:rsidRPr="006D0A66">
              <w:t xml:space="preserve"> This is the first release of this unit of competency in the TLI Transport and Logistics Training Package.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2" w:name="O_1267954"/>
      <w:bookmarkEnd w:id="2"/>
      <w:r w:rsidRPr="006D0A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t xml:space="preserve">This unit involves the skills and knowledge required to apply technical regulatory framework compliance management systems. </w:t>
            </w:r>
          </w:p>
          <w:p w:rsidR="00000000" w:rsidRPr="006D0A66" w:rsidP="006D0A66">
            <w:pPr>
              <w:pStyle w:val="BodyText"/>
            </w:pPr>
            <w:r w:rsidRPr="006D0A66">
              <w:t xml:space="preserve">It includes preparing for compliance roles and responsibilities and applying technical compliance management systems.  </w:t>
            </w:r>
            <w:r w:rsidRPr="006D0A66">
              <w:t>It also includes validating individual application of technical compliance management processes and procedures established by an organisation to fulfil its obligations and responsibilities under applicable compliance requirements.</w:t>
            </w:r>
          </w:p>
          <w:p w:rsidR="00000000" w:rsidRPr="006D0A66" w:rsidP="006D0A66">
            <w:pPr>
              <w:pStyle w:val="BodyText"/>
            </w:pPr>
            <w:r w:rsidRPr="006D0A66">
              <w:t>This unit was developed f</w:t>
            </w:r>
            <w:r w:rsidRPr="006D0A66">
              <w:t xml:space="preserve">or technical regulatory framework specialists working within materiel logistics but may be applicable to individuals in broader logistics roles. </w:t>
            </w:r>
          </w:p>
          <w:p w:rsidR="00000000" w:rsidRPr="006D0A66" w:rsidP="006D0A66">
            <w:pPr>
              <w:pStyle w:val="BodyText"/>
            </w:pPr>
            <w:r w:rsidRPr="006D0A66">
              <w:t>Individuals work independently or as part of a team under direct or indirect supervision, use discretion and j</w:t>
            </w:r>
            <w:r w:rsidRPr="006D0A66">
              <w:t>udgement, and take responsibility for the quality of their outputs. All activities are carried out in accordance with relevant organisational policy and procedures.</w:t>
            </w:r>
          </w:p>
          <w:p w:rsidR="00000000" w:rsidRPr="006D0A66" w:rsidP="006D0A66">
            <w:pPr>
              <w:pStyle w:val="BodyText"/>
            </w:pPr>
            <w:r w:rsidRPr="006D0A66">
              <w:t>No licensing, legislative or certification requirements apply to this unit at the time of p</w:t>
            </w:r>
            <w:r w:rsidRPr="006D0A66">
              <w:t>ublication.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3" w:name="O_1267955"/>
      <w:bookmarkEnd w:id="3"/>
      <w:r w:rsidRPr="006D0A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t>Not applicable.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4" w:name="O_1267956"/>
      <w:bookmarkEnd w:id="4"/>
      <w:r w:rsidRPr="006D0A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t>X – Logistics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5" w:name="O_1267957"/>
      <w:bookmarkEnd w:id="5"/>
      <w:r w:rsidRPr="006D0A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t>Not applicable.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6" w:name="O_1267958"/>
      <w:bookmarkEnd w:id="6"/>
      <w:r w:rsidRPr="006D0A6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79"/>
        <w:gridCol w:w="3326"/>
        <w:gridCol w:w="1331"/>
        <w:gridCol w:w="4162"/>
      </w:tblGrid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Elements describe the essential outcomes.</w:t>
            </w:r>
          </w:p>
        </w:tc>
        <w:tc>
          <w:tcPr>
            <w:tcW w:w="54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Performance criteria describe the performance needed to demonstrate achievement of the element.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rPr>
                <w:rStyle w:val="SpecialBold"/>
              </w:rPr>
              <w:t>1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rPr>
                <w:rStyle w:val="SpecialBold"/>
              </w:rPr>
              <w:t>Prepare for compliance roles and responsibilities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1.1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Structure of the organisation is examined to identify roles, authorities, accountabilities and responsibilities of various managers and operational staff, in maintaining compliance within the technical regulatory framework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1.2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Technical regulatory frame</w:t>
            </w:r>
            <w:r w:rsidRPr="006D0A66">
              <w:t>work compliance requirements applicable to work area or operational unit are identified, confirmed and interpreted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1.3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Responsibilities of relevant personnel are identified and clarified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1.4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Feedback and performance indicators on the operation of the technical compliance management processes and procedures are reviewed and agreed with appropriate personnel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1.5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Appropriate briefings and training are participated in to ensure jobholder is awa</w:t>
            </w:r>
            <w:r w:rsidRPr="006D0A66">
              <w:t>re of roles and responsibilities within planned technical regulatory framework compliance management system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rPr>
                <w:rStyle w:val="SpecialBold"/>
              </w:rPr>
              <w:t>2</w:t>
            </w: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rPr>
                <w:rStyle w:val="SpecialBold"/>
              </w:rPr>
              <w:t>Apply technical compliance management system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2.1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Technical regulatory framework components of technical compliance management system are confirme</w:t>
            </w:r>
            <w:r w:rsidRPr="006D0A66">
              <w:t>d, and authorised procedures for their implementation are clarified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2.2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Resources for applying technical regulatory framework compliance management system are accessed and utilised in accordance with organisational policy and procedures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2.3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Implementation plan and schedule are accessed and applied in collaboration with appropriate personnel, in accordance with relevant technical regulatory framework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2.4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Essential technical regulatory framework preconditions for any duty, function or activi</w:t>
            </w:r>
            <w:r w:rsidRPr="006D0A66">
              <w:t xml:space="preserve">ty are confirmed before proceeding </w:t>
            </w:r>
            <w:r w:rsidRPr="006D0A66">
              <w:t>with designated or assigned work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rPr>
                <w:rStyle w:val="SpecialBold"/>
              </w:rPr>
              <w:t>3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rPr>
                <w:rStyle w:val="SpecialBold"/>
              </w:rPr>
              <w:t>Validate individual application of technical compliance management processes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3.1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Responsibilities within technical compliance management system are identified and gathered from appropriate sources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3.2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Feedback and performance indicator satisfaction data is prepared, reviewed and processed in accordance with agreed workplace practices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3.3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Problems in applying technical compliance management system and in particular, breach of compliance requirements, are identified and appropriate action is initiated to address problems concerned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3.4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Reports on identified breaches of compliance requireme</w:t>
            </w:r>
            <w:r w:rsidRPr="006D0A66">
              <w:t>nts and related action taken are prepared and processed to responsible authority or stakeholders</w:t>
            </w:r>
          </w:p>
        </w:tc>
      </w:tr>
      <w:tr w:rsidTr="006D0A6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>
            <w:pPr>
              <w:pStyle w:val="BodyText"/>
              <w:keepLines w:val="0"/>
              <w:spacing w:before="0" w:after="0"/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rPr>
                <w:rStyle w:val="SpecialBold"/>
              </w:rPr>
              <w:t>3.5</w:t>
            </w:r>
          </w:p>
        </w:tc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t>Records of technical regulatory framework activities are maintained in accordance with approved systems requirements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7" w:name="O_1267959"/>
      <w:bookmarkEnd w:id="7"/>
      <w:r w:rsidRPr="006D0A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t>Foundation skills essential to performance are explicit in the performance criteria of this unit of competency.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8" w:name="O_1267960"/>
      <w:bookmarkEnd w:id="8"/>
      <w:r w:rsidRPr="006D0A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t>Range is restricted to essential operating conditions and any other variables essenti</w:t>
            </w:r>
            <w:r w:rsidRPr="006D0A66">
              <w:t>al to the work environment.</w:t>
            </w:r>
          </w:p>
          <w:p w:rsidR="00000000" w:rsidRPr="006D0A66" w:rsidP="006D0A66">
            <w:pPr>
              <w:pStyle w:val="BodyText"/>
            </w:pPr>
            <w:r w:rsidRPr="006D0A66">
              <w:t>Non-essential conditions can be found in the Companion Volume Implementation Guide.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9" w:name="O_1267961"/>
      <w:bookmarkEnd w:id="9"/>
      <w:r w:rsidRPr="006D0A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t>This unit replaces and is equivalent to TLIX4033 Apply technical regulatory framework compliance management systems.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10" w:name="O_1267968"/>
      <w:bookmarkEnd w:id="10"/>
      <w:r w:rsidRPr="006D0A66">
        <w:t>Links</w:t>
      </w:r>
    </w:p>
    <w:p w:rsidR="00000000" w:rsidRPr="006D0A66" w:rsidP="00862290">
      <w:pPr>
        <w:pStyle w:val="BodyText"/>
      </w:pPr>
      <w:r w:rsidRPr="006D0A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52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0A66" w:rsidP="00862290">
      <w:pPr>
        <w:pStyle w:val="BodyText"/>
        <w:sectPr w:rsidSect="006D0A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0A66" w:rsidP="006D0A66">
      <w:pPr>
        <w:pStyle w:val="SuperHeading"/>
      </w:pPr>
      <w:r w:rsidRPr="006D0A66">
        <w:t>Assessment Requirements for TLIX0052 Apply technical regulatory framework compliance management systems</w:t>
      </w:r>
    </w:p>
    <w:p w:rsidR="00000000" w:rsidRPr="006D0A66" w:rsidP="006D0A66">
      <w:pPr>
        <w:pStyle w:val="Heading1"/>
      </w:pPr>
      <w:bookmarkStart w:id="11" w:name="O_1267963"/>
      <w:bookmarkEnd w:id="11"/>
      <w:r w:rsidRPr="006D0A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rPr>
                <w:rStyle w:val="SpecialBold"/>
              </w:rPr>
              <w:t>Release 1.</w:t>
            </w:r>
            <w:r w:rsidRPr="006D0A66">
              <w:t xml:space="preserve"> This is the first rel</w:t>
            </w:r>
            <w:r w:rsidRPr="006D0A66">
              <w:t>ease of this unit of competency in the TLI Transport and Logistics Training Package.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12" w:name="O_1267964"/>
      <w:bookmarkEnd w:id="12"/>
      <w:r w:rsidRPr="006D0A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Evidence required to demonstrate competence in this unit must be relevant to and satisfy all the requirements of the elements and</w:t>
            </w:r>
            <w:r w:rsidRPr="006D0A66">
              <w:t xml:space="preserve"> performance criteria on at least one occasion and include:</w:t>
            </w:r>
          </w:p>
        </w:tc>
      </w:tr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ListBullet"/>
            </w:pPr>
            <w:r w:rsidRPr="006D0A66">
              <w:t>adhering to and applying relevant data collection, storage and retrieval requirements</w:t>
            </w:r>
          </w:p>
          <w:p w:rsidR="00000000" w:rsidRPr="006D0A66" w:rsidP="006D0A66">
            <w:pPr>
              <w:pStyle w:val="ListBullet"/>
            </w:pPr>
            <w:r w:rsidRPr="006D0A66">
              <w:t>applying technical regulatory framework compliance management system knowledge to work being performed and to guide problem solving</w:t>
            </w:r>
          </w:p>
          <w:p w:rsidR="00000000" w:rsidRPr="006D0A66" w:rsidP="006D0A66">
            <w:pPr>
              <w:pStyle w:val="ListBullet"/>
            </w:pPr>
            <w:r w:rsidRPr="006D0A66">
              <w:t>applying technical regulatory framework knowledge relevant to work being performed</w:t>
            </w:r>
          </w:p>
          <w:p w:rsidR="00000000" w:rsidRPr="006D0A66" w:rsidP="006D0A66">
            <w:pPr>
              <w:pStyle w:val="ListBullet"/>
            </w:pPr>
            <w:r w:rsidRPr="006D0A66">
              <w:t>identifying relationships between organis</w:t>
            </w:r>
            <w:r w:rsidRPr="006D0A66">
              <w:t>ational goals and recognising how own work contributes to achieving these goals</w:t>
            </w:r>
          </w:p>
          <w:p w:rsidR="00000000" w:rsidRPr="006D0A66" w:rsidP="006D0A66">
            <w:pPr>
              <w:pStyle w:val="ListBullet"/>
            </w:pPr>
            <w:r w:rsidRPr="006D0A66">
              <w:t>using appropriate information management systems.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13" w:name="O_1267965"/>
      <w:bookmarkEnd w:id="13"/>
      <w:r w:rsidRPr="006D0A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A66">
            <w:pPr>
              <w:pStyle w:val="BodyText"/>
              <w:rPr>
                <w:lang w:val="en-NZ"/>
              </w:rPr>
            </w:pPr>
            <w:r w:rsidRPr="006D0A66">
              <w:t>Evidence required to demonstrate competence in this unit must be relevant to and satis</w:t>
            </w:r>
            <w:r w:rsidRPr="006D0A66">
              <w:t>fy all the requirements of the elements and performance criteria and include knowledge of:</w:t>
            </w:r>
          </w:p>
        </w:tc>
      </w:tr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ListBullet"/>
            </w:pPr>
            <w:r w:rsidRPr="006D0A66">
              <w:t>configuration management</w:t>
            </w:r>
          </w:p>
          <w:p w:rsidR="00000000" w:rsidRPr="006D0A66" w:rsidP="006D0A66">
            <w:pPr>
              <w:pStyle w:val="ListBullet"/>
            </w:pPr>
            <w:r w:rsidRPr="006D0A66">
              <w:t>elements of technical regulatory framework compliance management systems including:</w:t>
            </w:r>
          </w:p>
          <w:p w:rsidR="00000000" w:rsidRPr="006D0A66" w:rsidP="006D0A66">
            <w:pPr>
              <w:pStyle w:val="ListBullet2"/>
            </w:pPr>
            <w:r w:rsidRPr="006D0A66">
              <w:t>breach management policies and processes including th</w:t>
            </w:r>
            <w:r w:rsidRPr="006D0A66">
              <w:t>e identification, classification, investigation, rectification and reporting of breaches in compliance requirements</w:t>
            </w:r>
          </w:p>
          <w:p w:rsidR="00000000" w:rsidRPr="006D0A66" w:rsidP="006D0A66">
            <w:pPr>
              <w:pStyle w:val="ListBullet2"/>
            </w:pPr>
            <w:r w:rsidRPr="006D0A66">
              <w:t>compliance complaints handling systems</w:t>
            </w:r>
          </w:p>
          <w:p w:rsidR="00000000" w:rsidRPr="006D0A66" w:rsidP="006D0A66">
            <w:pPr>
              <w:pStyle w:val="ListBullet2"/>
            </w:pPr>
            <w:r w:rsidRPr="006D0A66">
              <w:t>compliance related management information systems</w:t>
            </w:r>
          </w:p>
          <w:p w:rsidR="00000000" w:rsidRPr="006D0A66" w:rsidP="006D0A66">
            <w:pPr>
              <w:pStyle w:val="ListBullet2"/>
            </w:pPr>
            <w:r w:rsidRPr="006D0A66">
              <w:t>compliance reporting procedures</w:t>
            </w:r>
          </w:p>
          <w:p w:rsidR="00000000" w:rsidRPr="006D0A66" w:rsidP="006D0A66">
            <w:pPr>
              <w:pStyle w:val="ListBullet2"/>
            </w:pPr>
            <w:r w:rsidRPr="006D0A66">
              <w:t>continuous improvement processes for compliance including validation and review</w:t>
            </w:r>
          </w:p>
          <w:p w:rsidR="00000000" w:rsidRPr="006D0A66" w:rsidP="006D0A66">
            <w:pPr>
              <w:pStyle w:val="ListBullet2"/>
            </w:pPr>
            <w:r w:rsidRPr="006D0A66">
              <w:t xml:space="preserve">corporate compliance induction and training processes </w:t>
            </w:r>
          </w:p>
          <w:p w:rsidR="00000000" w:rsidRPr="006D0A66" w:rsidP="006D0A66">
            <w:pPr>
              <w:pStyle w:val="ListBullet2"/>
            </w:pPr>
            <w:r w:rsidRPr="006D0A66">
              <w:t>documentation of compliance requirements relevant to the specified work role/area</w:t>
            </w:r>
          </w:p>
          <w:p w:rsidR="00000000" w:rsidRPr="006D0A66" w:rsidP="006D0A66">
            <w:pPr>
              <w:pStyle w:val="ListBullet2"/>
            </w:pPr>
            <w:r w:rsidRPr="006D0A66">
              <w:t>liaison procedures with relevant intern</w:t>
            </w:r>
            <w:r w:rsidRPr="006D0A66">
              <w:t>al personnel on compliance related matters</w:t>
            </w:r>
          </w:p>
          <w:p w:rsidR="00000000" w:rsidRPr="006D0A66" w:rsidP="006D0A66">
            <w:pPr>
              <w:pStyle w:val="ListBullet2"/>
            </w:pPr>
            <w:r w:rsidRPr="006D0A66">
              <w:t>processes for internal promulgation of information on compliance requirements</w:t>
            </w:r>
          </w:p>
          <w:p w:rsidR="00000000" w:rsidRPr="006D0A66" w:rsidP="006D0A66">
            <w:pPr>
              <w:pStyle w:val="ListBullet2"/>
            </w:pPr>
            <w:r w:rsidRPr="006D0A66">
              <w:t>reporting processes on compliance including reports on breaches and rectification action</w:t>
            </w:r>
          </w:p>
          <w:p w:rsidR="00000000" w:rsidRPr="006D0A66" w:rsidP="006D0A66">
            <w:pPr>
              <w:pStyle w:val="ListBullet2"/>
            </w:pPr>
            <w:r w:rsidRPr="006D0A66">
              <w:t>specification of local work area compliance ma</w:t>
            </w:r>
            <w:r w:rsidRPr="006D0A66">
              <w:t>nagement functions, authorities, accountabilities and responsibilities under a technical regulatory framework</w:t>
            </w:r>
          </w:p>
          <w:p w:rsidR="00000000" w:rsidRPr="006D0A66" w:rsidP="006D0A66">
            <w:pPr>
              <w:pStyle w:val="ListBullet2"/>
            </w:pPr>
            <w:r w:rsidRPr="006D0A66">
              <w:t>techniques and performance indicators for validating individual application of a compliance system</w:t>
            </w:r>
          </w:p>
          <w:p w:rsidR="00000000" w:rsidRPr="006D0A66" w:rsidP="006D0A66">
            <w:pPr>
              <w:pStyle w:val="ListBullet"/>
            </w:pPr>
            <w:r w:rsidRPr="006D0A66">
              <w:t>own role in relation to wider organisational o</w:t>
            </w:r>
            <w:r w:rsidRPr="006D0A66">
              <w:t xml:space="preserve">r project context </w:t>
            </w:r>
          </w:p>
          <w:p w:rsidR="00000000" w:rsidRPr="006D0A66" w:rsidP="006D0A66">
            <w:pPr>
              <w:pStyle w:val="ListBullet"/>
            </w:pPr>
            <w:r w:rsidRPr="006D0A66">
              <w:t>quantitative and qualitative data analysis techniques relevant to compliance applications</w:t>
            </w:r>
          </w:p>
          <w:p w:rsidR="00000000" w:rsidRPr="006D0A66" w:rsidP="006D0A66">
            <w:pPr>
              <w:pStyle w:val="ListBullet"/>
            </w:pPr>
            <w:r w:rsidRPr="006D0A66">
              <w:t>relevant national and international standards</w:t>
            </w:r>
          </w:p>
          <w:p w:rsidR="00000000" w:rsidRPr="006D0A66" w:rsidP="006D0A66">
            <w:pPr>
              <w:pStyle w:val="ListBullet"/>
            </w:pPr>
            <w:r w:rsidRPr="006D0A66">
              <w:t>sources of data relevant to compliance, including environmental and sustainability issues</w:t>
            </w:r>
          </w:p>
          <w:p w:rsidR="00000000" w:rsidRPr="006D0A66" w:rsidP="006D0A66">
            <w:pPr>
              <w:pStyle w:val="ListBullet"/>
            </w:pPr>
            <w:r w:rsidRPr="006D0A66">
              <w:t>technical regulatory framework compliance requirements that are based on:</w:t>
            </w:r>
          </w:p>
          <w:p w:rsidR="00000000" w:rsidRPr="006D0A66" w:rsidP="006D0A66">
            <w:pPr>
              <w:pStyle w:val="ListBullet2"/>
            </w:pPr>
            <w:r w:rsidRPr="006D0A66">
              <w:t>codes of practice</w:t>
            </w:r>
          </w:p>
          <w:p w:rsidR="00000000" w:rsidRPr="006D0A66" w:rsidP="006D0A66">
            <w:pPr>
              <w:pStyle w:val="ListBullet2"/>
            </w:pPr>
            <w:r w:rsidRPr="006D0A66">
              <w:t>environmental, sustainability policies and legislation</w:t>
            </w:r>
          </w:p>
          <w:p w:rsidR="00000000" w:rsidRPr="006D0A66" w:rsidP="006D0A66">
            <w:pPr>
              <w:pStyle w:val="ListBullet2"/>
            </w:pPr>
            <w:r w:rsidRPr="006D0A66">
              <w:t>internal policies</w:t>
            </w:r>
          </w:p>
          <w:p w:rsidR="00000000" w:rsidRPr="006D0A66" w:rsidP="006D0A66">
            <w:pPr>
              <w:pStyle w:val="ListBullet2"/>
            </w:pPr>
            <w:r w:rsidRPr="006D0A66">
              <w:t>organisational policy and procedures</w:t>
            </w:r>
          </w:p>
          <w:p w:rsidR="00000000" w:rsidRPr="006D0A66" w:rsidP="006D0A66">
            <w:pPr>
              <w:pStyle w:val="ListBullet2"/>
            </w:pPr>
            <w:r w:rsidRPr="006D0A66">
              <w:t>standard operating procedures</w:t>
            </w:r>
          </w:p>
          <w:p w:rsidR="00000000" w:rsidRPr="006D0A66" w:rsidP="006D0A66">
            <w:pPr>
              <w:pStyle w:val="ListBullet2"/>
            </w:pPr>
            <w:r w:rsidRPr="006D0A66">
              <w:t>standards</w:t>
            </w:r>
          </w:p>
          <w:p w:rsidR="00000000" w:rsidRPr="006D0A66" w:rsidP="006D0A66">
            <w:pPr>
              <w:pStyle w:val="ListBullet"/>
            </w:pPr>
            <w:r w:rsidRPr="006D0A66">
              <w:t>techniques s</w:t>
            </w:r>
            <w:r w:rsidRPr="006D0A66">
              <w:t>uitable for applying compliance related systems and activities.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14" w:name="O_1267966"/>
      <w:bookmarkEnd w:id="14"/>
      <w:r w:rsidRPr="006D0A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A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A66" w:rsidP="006D0A66">
            <w:pPr>
              <w:pStyle w:val="BodyText"/>
            </w:pPr>
            <w:r w:rsidRPr="006D0A66">
              <w:t xml:space="preserve">Assessors must hold credentials specified within the Standards for Registered Training Organisations current at the time of assessment. </w:t>
            </w:r>
          </w:p>
          <w:p w:rsidR="00000000" w:rsidRPr="006D0A66" w:rsidP="006D0A66">
            <w:pPr>
              <w:pStyle w:val="BodyText"/>
            </w:pPr>
            <w:r w:rsidRPr="006D0A66">
              <w:t>Assessment</w:t>
            </w:r>
            <w:r w:rsidRPr="006D0A66">
              <w:t xml:space="preserve">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D0A66" w:rsidP="006D0A66">
            <w:pPr>
              <w:pStyle w:val="BodyText"/>
            </w:pPr>
            <w:r w:rsidRPr="006D0A66">
              <w:t>Assessment must occur in workplace operational situation</w:t>
            </w:r>
            <w:r w:rsidRPr="006D0A66">
              <w:t>s where it is appropriate to do so; where this is not appropriate, assessment must occur in simulated workplace operational situations that replicate workplace conditions.</w:t>
            </w:r>
          </w:p>
          <w:p w:rsidR="00000000" w:rsidRPr="006D0A66" w:rsidP="006D0A66">
            <w:pPr>
              <w:pStyle w:val="BodyText"/>
            </w:pPr>
            <w:r w:rsidRPr="006D0A66">
              <w:t>Assessment processes and techniques must be appropriate to the language, literacy an</w:t>
            </w:r>
            <w:r w:rsidRPr="006D0A66">
              <w:t>d numeracy requirements of the work being performed and the needs of the candidate.</w:t>
            </w:r>
          </w:p>
          <w:p w:rsidR="00000000" w:rsidRPr="006D0A66" w:rsidP="006D0A66">
            <w:pPr>
              <w:pStyle w:val="BodyText"/>
            </w:pPr>
            <w:r w:rsidRPr="006D0A66">
              <w:t>Resources for assessment must include access to:</w:t>
            </w:r>
          </w:p>
          <w:p w:rsidR="00000000" w:rsidRPr="006D0A66" w:rsidP="006D0A66">
            <w:pPr>
              <w:pStyle w:val="ListBullet"/>
            </w:pPr>
            <w:r w:rsidRPr="006D0A66">
              <w:t>relevant and appropriate materials, tools, equipment and personal protective equipment currently used in industry</w:t>
            </w:r>
          </w:p>
          <w:p w:rsidR="00000000" w:rsidRPr="006D0A66" w:rsidP="006D0A66">
            <w:pPr>
              <w:pStyle w:val="ListBullet"/>
            </w:pPr>
            <w:r w:rsidRPr="006D0A66">
              <w:t>applicab</w:t>
            </w:r>
            <w:r w:rsidRPr="006D0A66">
              <w:t>le documentation including legislation, regulations, codes of practice, workplace procedures and operation manuals.</w:t>
            </w:r>
          </w:p>
        </w:tc>
      </w:tr>
    </w:tbl>
    <w:p w:rsidR="00000000" w:rsidRPr="006D0A66" w:rsidP="006D0A66">
      <w:pPr>
        <w:pStyle w:val="NoPaddingFontSize1"/>
      </w:pPr>
    </w:p>
    <w:p w:rsidR="00000000" w:rsidRPr="006D0A66" w:rsidP="006D0A66">
      <w:pPr>
        <w:pStyle w:val="AllowPageBreak"/>
      </w:pPr>
    </w:p>
    <w:p w:rsidR="00000000" w:rsidRPr="006D0A66" w:rsidP="006D0A66">
      <w:pPr>
        <w:pStyle w:val="Heading1"/>
      </w:pPr>
      <w:bookmarkStart w:id="15" w:name="O_1267969"/>
      <w:bookmarkEnd w:id="15"/>
      <w:r w:rsidRPr="006D0A66">
        <w:t>Links</w:t>
      </w:r>
    </w:p>
    <w:p w:rsidR="00000000" w:rsidRPr="006D0A66" w:rsidP="00862290">
      <w:pPr>
        <w:pStyle w:val="BodyText"/>
      </w:pPr>
      <w:r w:rsidRPr="006D0A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1521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D0A66" w:rsidP="006D0A66"/>
    <w:sectPr w:rsidSect="006D0A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6" w:rsidRPr="00862290" w:rsidP="00862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90" w:rsidP="006D0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2290" w:rsidP="006D0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62290" w:rsidP="006D0A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6" w:rsidP="006D0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2290">
      <w:t>Approved</w:t>
    </w:r>
    <w:r w:rsidR="008622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22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2290">
      <w:rPr>
        <w:noProof/>
      </w:rPr>
      <w:t>5</w:t>
    </w:r>
    <w:r>
      <w:rPr>
        <w:noProof/>
      </w:rPr>
      <w:fldChar w:fldCharType="end"/>
    </w:r>
  </w:p>
  <w:p w:rsidR="006D0A66" w:rsidP="006D0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22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2290">
      <w:t>Industry Skills Australia</w:t>
    </w:r>
    <w:r w:rsidR="00862290">
      <w:fldChar w:fldCharType="end"/>
    </w:r>
  </w:p>
  <w:p w:rsidR="006D0A66" w:rsidP="006D0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A66" w:rsidRPr="00862290" w:rsidP="00862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290" w:rsidRPr="002D2AF8" w:rsidP="006D0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TLIX0052 Apply technical regulatory framework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2290" w:rsidP="006D0A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A66" w:rsidRPr="002D2AF8" w:rsidP="006D0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2290">
      <w:t>TLIX0052 Apply technical regulatory framework compliance management systems</w:t>
    </w:r>
    <w:r w:rsidR="008622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2290">
      <w:rPr>
        <w:noProof/>
      </w:rPr>
      <w:t>2 March 2025</w:t>
    </w:r>
    <w:r>
      <w:fldChar w:fldCharType="end"/>
    </w:r>
  </w:p>
  <w:p w:rsidR="006D0A66" w:rsidP="006D0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681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DA9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426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A66"/>
  </w:style>
  <w:style w:type="character" w:customStyle="1" w:styleId="Heading1Char">
    <w:name w:val="Heading 1 Char"/>
    <w:basedOn w:val="DefaultParagraphFont"/>
    <w:link w:val="Heading1"/>
    <w:rsid w:val="006D0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A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A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A66"/>
    <w:rPr>
      <w:b/>
      <w:spacing w:val="0"/>
    </w:rPr>
  </w:style>
  <w:style w:type="paragraph" w:styleId="ListBullet2">
    <w:name w:val="List Bullet 2"/>
    <w:basedOn w:val="List2"/>
    <w:rsid w:val="006D0A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0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A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A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A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A66"/>
    <w:rPr>
      <w:i/>
    </w:rPr>
  </w:style>
  <w:style w:type="paragraph" w:styleId="Caption">
    <w:name w:val="caption"/>
    <w:basedOn w:val="BodyText"/>
    <w:next w:val="Normal"/>
    <w:qFormat/>
    <w:rsid w:val="006D0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A66"/>
  </w:style>
  <w:style w:type="paragraph" w:styleId="TableofFigures">
    <w:name w:val="table of figures"/>
    <w:basedOn w:val="Normal"/>
    <w:next w:val="Normal"/>
    <w:semiHidden/>
    <w:rsid w:val="006D0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A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0A66"/>
    <w:rPr>
      <w:rFonts w:ascii="Wingdings" w:hAnsi="Wingdings"/>
    </w:rPr>
  </w:style>
  <w:style w:type="paragraph" w:customStyle="1" w:styleId="TableHeading">
    <w:name w:val="Table Heading"/>
    <w:basedOn w:val="HeadingBase"/>
    <w:rsid w:val="006D0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A66"/>
    <w:rPr>
      <w:color w:val="0033CC"/>
      <w:u w:val="none"/>
    </w:rPr>
  </w:style>
  <w:style w:type="paragraph" w:customStyle="1" w:styleId="BodyTextRight">
    <w:name w:val="Body Text Right"/>
    <w:basedOn w:val="BodyText"/>
    <w:rsid w:val="006D0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A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A66"/>
    <w:rPr>
      <w:sz w:val="32"/>
    </w:rPr>
  </w:style>
  <w:style w:type="paragraph" w:customStyle="1" w:styleId="HeadingProcedure">
    <w:name w:val="Heading Procedure"/>
    <w:basedOn w:val="HeadingBase"/>
    <w:next w:val="Normal"/>
    <w:rsid w:val="006D0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A66"/>
    <w:pPr>
      <w:spacing w:before="60" w:after="60"/>
    </w:pPr>
  </w:style>
  <w:style w:type="paragraph" w:styleId="ListContinue">
    <w:name w:val="List Continue"/>
    <w:basedOn w:val="List"/>
    <w:rsid w:val="006D0A66"/>
    <w:pPr>
      <w:ind w:firstLine="0"/>
    </w:pPr>
  </w:style>
  <w:style w:type="paragraph" w:customStyle="1" w:styleId="ListNote">
    <w:name w:val="List Note"/>
    <w:basedOn w:val="List"/>
    <w:rsid w:val="006D0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A66"/>
    <w:rPr>
      <w:rFonts w:ascii="Courier New" w:hAnsi="Courier New"/>
    </w:rPr>
  </w:style>
  <w:style w:type="paragraph" w:customStyle="1" w:styleId="NoteBullet">
    <w:name w:val="Note Bullet"/>
    <w:basedOn w:val="Note"/>
    <w:rsid w:val="006D0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A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A66"/>
    <w:rPr>
      <w:b/>
      <w:smallCaps/>
    </w:rPr>
  </w:style>
  <w:style w:type="paragraph" w:customStyle="1" w:styleId="TableListNumber">
    <w:name w:val="Table List Number"/>
    <w:basedOn w:val="ListNumber"/>
    <w:rsid w:val="006D0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A66"/>
    <w:pPr>
      <w:numPr>
        <w:numId w:val="9"/>
      </w:numPr>
    </w:pPr>
  </w:style>
  <w:style w:type="paragraph" w:customStyle="1" w:styleId="ListAlpha2">
    <w:name w:val="List Alpha 2"/>
    <w:basedOn w:val="List2"/>
    <w:rsid w:val="006D0A66"/>
    <w:pPr>
      <w:numPr>
        <w:numId w:val="8"/>
      </w:numPr>
    </w:pPr>
  </w:style>
  <w:style w:type="paragraph" w:styleId="List2">
    <w:name w:val="List 2"/>
    <w:basedOn w:val="BodyText"/>
    <w:rsid w:val="006D0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A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A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0A66"/>
    <w:pPr>
      <w:numPr>
        <w:numId w:val="4"/>
      </w:numPr>
    </w:pPr>
  </w:style>
  <w:style w:type="paragraph" w:styleId="ListContinue2">
    <w:name w:val="List Continue 2"/>
    <w:basedOn w:val="List2"/>
    <w:rsid w:val="006D0A66"/>
    <w:pPr>
      <w:ind w:firstLine="0"/>
    </w:pPr>
  </w:style>
  <w:style w:type="paragraph" w:styleId="ListContinue3">
    <w:name w:val="List Continue 3"/>
    <w:basedOn w:val="List3"/>
    <w:rsid w:val="006D0A66"/>
    <w:pPr>
      <w:ind w:left="1021" w:firstLine="0"/>
    </w:pPr>
  </w:style>
  <w:style w:type="paragraph" w:styleId="ListContinue4">
    <w:name w:val="List Continue 4"/>
    <w:basedOn w:val="List4"/>
    <w:rsid w:val="006D0A66"/>
    <w:pPr>
      <w:ind w:firstLine="0"/>
    </w:pPr>
  </w:style>
  <w:style w:type="paragraph" w:styleId="ListContinue5">
    <w:name w:val="List Continue 5"/>
    <w:basedOn w:val="List5"/>
    <w:rsid w:val="006D0A66"/>
    <w:pPr>
      <w:ind w:firstLine="0"/>
    </w:pPr>
  </w:style>
  <w:style w:type="paragraph" w:styleId="ListNumber3">
    <w:name w:val="List Number 3"/>
    <w:basedOn w:val="List3"/>
    <w:rsid w:val="006D0A66"/>
    <w:pPr>
      <w:numPr>
        <w:numId w:val="5"/>
      </w:numPr>
    </w:pPr>
  </w:style>
  <w:style w:type="paragraph" w:styleId="ListNumber4">
    <w:name w:val="List Number 4"/>
    <w:basedOn w:val="List4"/>
    <w:rsid w:val="006D0A66"/>
    <w:pPr>
      <w:numPr>
        <w:numId w:val="6"/>
      </w:numPr>
    </w:pPr>
  </w:style>
  <w:style w:type="paragraph" w:styleId="ListNumber5">
    <w:name w:val="List Number 5"/>
    <w:basedOn w:val="List5"/>
    <w:rsid w:val="006D0A66"/>
    <w:pPr>
      <w:numPr>
        <w:numId w:val="7"/>
      </w:numPr>
    </w:pPr>
  </w:style>
  <w:style w:type="paragraph" w:styleId="BlockText">
    <w:name w:val="Block Text"/>
    <w:basedOn w:val="Normal"/>
    <w:rsid w:val="006D0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A66"/>
    <w:rPr>
      <w:sz w:val="16"/>
      <w:vertAlign w:val="superscript"/>
    </w:rPr>
  </w:style>
  <w:style w:type="character" w:customStyle="1" w:styleId="Symbols">
    <w:name w:val="Symbols"/>
    <w:basedOn w:val="DefaultParagraphFont"/>
    <w:rsid w:val="006D0A66"/>
    <w:rPr>
      <w:rFonts w:ascii="Symbol" w:hAnsi="Symbol"/>
    </w:rPr>
  </w:style>
  <w:style w:type="character" w:customStyle="1" w:styleId="MenuOptions">
    <w:name w:val="Menu Options"/>
    <w:basedOn w:val="DefaultParagraphFont"/>
    <w:rsid w:val="006D0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A66"/>
    <w:rPr>
      <w:b/>
    </w:rPr>
  </w:style>
  <w:style w:type="character" w:customStyle="1" w:styleId="Underlined">
    <w:name w:val="Underlined"/>
    <w:basedOn w:val="DefaultParagraphFont"/>
    <w:rsid w:val="006D0A66"/>
    <w:rPr>
      <w:u w:val="single"/>
    </w:rPr>
  </w:style>
  <w:style w:type="paragraph" w:customStyle="1" w:styleId="TableBodyTextRight">
    <w:name w:val="Table Body Text Right"/>
    <w:basedOn w:val="TableBodyText"/>
    <w:rsid w:val="006D0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A66"/>
    <w:rPr>
      <w:sz w:val="18"/>
    </w:rPr>
  </w:style>
  <w:style w:type="paragraph" w:customStyle="1" w:styleId="BodySmallRight">
    <w:name w:val="Body Small Right"/>
    <w:basedOn w:val="BodyTextRight"/>
    <w:rsid w:val="006D0A66"/>
    <w:rPr>
      <w:sz w:val="18"/>
      <w:szCs w:val="18"/>
    </w:rPr>
  </w:style>
  <w:style w:type="paragraph" w:customStyle="1" w:styleId="MarginEdition">
    <w:name w:val="Margin Edition"/>
    <w:basedOn w:val="MarginNote"/>
    <w:rsid w:val="006D0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A66"/>
    <w:rPr>
      <w:sz w:val="2"/>
      <w:szCs w:val="2"/>
    </w:rPr>
  </w:style>
  <w:style w:type="character" w:customStyle="1" w:styleId="Small">
    <w:name w:val="Small"/>
    <w:basedOn w:val="DefaultParagraphFont"/>
    <w:rsid w:val="006D0A66"/>
    <w:rPr>
      <w:sz w:val="16"/>
    </w:rPr>
  </w:style>
  <w:style w:type="paragraph" w:customStyle="1" w:styleId="WideTable">
    <w:name w:val="Wide Table"/>
    <w:basedOn w:val="Normal"/>
    <w:rsid w:val="006D0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A66"/>
  </w:style>
  <w:style w:type="paragraph" w:styleId="Quote">
    <w:name w:val="Quote"/>
    <w:basedOn w:val="Heading1"/>
    <w:link w:val="QuoteChar"/>
    <w:qFormat/>
    <w:rsid w:val="006D0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A66"/>
    <w:pPr>
      <w:pageBreakBefore/>
    </w:pPr>
  </w:style>
  <w:style w:type="paragraph" w:customStyle="1" w:styleId="Border">
    <w:name w:val="Border"/>
    <w:basedOn w:val="Normal"/>
    <w:qFormat/>
    <w:rsid w:val="006D0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A66"/>
    <w:rPr>
      <w:u w:val="single"/>
    </w:rPr>
  </w:style>
  <w:style w:type="character" w:customStyle="1" w:styleId="BoldandItalics">
    <w:name w:val="Bold and Italics"/>
    <w:qFormat/>
    <w:rsid w:val="006D0A66"/>
    <w:rPr>
      <w:b/>
      <w:i/>
      <w:u w:val="none"/>
    </w:rPr>
  </w:style>
  <w:style w:type="paragraph" w:styleId="BalloonText">
    <w:name w:val="Balloon Text"/>
    <w:basedOn w:val="Normal"/>
    <w:link w:val="BalloonTextChar"/>
    <w:rsid w:val="006D0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A66"/>
    <w:pPr>
      <w:spacing w:before="0" w:after="0"/>
    </w:pPr>
  </w:style>
  <w:style w:type="paragraph" w:customStyle="1" w:styleId="BodyTextBold">
    <w:name w:val="Body Text Bold"/>
    <w:basedOn w:val="BodyText"/>
    <w:qFormat/>
    <w:rsid w:val="006D0A66"/>
    <w:rPr>
      <w:b/>
    </w:rPr>
  </w:style>
  <w:style w:type="character" w:styleId="Hyperlink">
    <w:name w:val="Hyperlink"/>
    <w:basedOn w:val="DefaultParagraphFont"/>
    <w:uiPriority w:val="99"/>
    <w:unhideWhenUsed/>
    <w:rsid w:val="00862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1128</Words>
  <Characters>7902</Characters>
  <Application>Microsoft Office Word</Application>
  <DocSecurity>0</DocSecurity>
  <Lines>263</Lines>
  <Paragraphs>130</Paragraphs>
  <ScaleCrop>false</ScaleCrop>
  <Company>Author-it Software Corporation Ltd.</Company>
  <LinksUpToDate>false</LinksUpToDate>
  <CharactersWithSpaces>8900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TLIX0052 Apply technical regulatory framework compliance management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2025-03-01T21:50:00Z</dcterms:created>
  <dcterms:modified xsi:type="dcterms:W3CDTF">2025-03-01T21:50:00Z</dcterms:modified>
</cp:coreProperties>
</file>