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1FB" w:rsidP="005F11FB">
      <w:pPr>
        <w:pStyle w:val="Title"/>
      </w:pPr>
      <w:r>
        <w:fldChar w:fldCharType="begin"/>
      </w:r>
      <w:r>
        <w:instrText xml:space="preserve"> TITLE   \* MERGEFORMAT </w:instrText>
      </w:r>
      <w:r>
        <w:fldChar w:fldCharType="separate"/>
      </w:r>
      <w:r>
        <w:t>TLIX0051 Apply materiel logistics processes and procedures</w:t>
      </w:r>
      <w:r>
        <w:fldChar w:fldCharType="end"/>
      </w:r>
    </w:p>
    <w:p w:rsidR="005F11FB" w:rsidP="005F11FB">
      <w:pPr>
        <w:pStyle w:val="Version"/>
        <w:sectPr w:rsidSect="009645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5ED" w:rsidP="009645ED">
      <w:pPr>
        <w:pStyle w:val="SuperHeading"/>
      </w:pPr>
      <w:r w:rsidRPr="009645ED">
        <w:t>TLIX0051 Apply materiel logistics processes and procedures</w:t>
      </w:r>
    </w:p>
    <w:p w:rsidR="00000000" w:rsidRPr="009645ED" w:rsidP="009645ED">
      <w:pPr>
        <w:pStyle w:val="Heading1"/>
      </w:pPr>
      <w:bookmarkStart w:id="1" w:name="O_1267763"/>
      <w:bookmarkEnd w:id="1"/>
      <w:r w:rsidRPr="009645ED">
        <w:t>Modification History</w:t>
      </w:r>
    </w:p>
    <w:tbl>
      <w:tblPr>
        <w:tblW w:w="9497" w:type="dxa"/>
        <w:tblLayout w:type="fixed"/>
        <w:tblCellMar>
          <w:left w:w="62" w:type="dxa"/>
          <w:right w:w="62" w:type="dxa"/>
        </w:tblCellMar>
        <w:tblLook w:val="0000"/>
      </w:tblPr>
      <w:tblGrid>
        <w:gridCol w:w="9497"/>
      </w:tblGrid>
      <w:tr w:rsidTr="00964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rPr>
                <w:rStyle w:val="SpecialBold"/>
              </w:rPr>
              <w:t>Release 1.</w:t>
            </w:r>
            <w:r w:rsidRPr="009645ED">
              <w:t xml:space="preserve"> This is the first release of this unit of competency in the TLI Transport and Logistics Training Package.</w:t>
            </w:r>
          </w:p>
        </w:tc>
      </w:tr>
    </w:tbl>
    <w:p w:rsidR="00000000" w:rsidRPr="009645ED" w:rsidP="009645ED">
      <w:pPr>
        <w:pStyle w:val="NoPaddingFontSize1"/>
      </w:pPr>
    </w:p>
    <w:p w:rsidR="00000000" w:rsidRPr="009645ED" w:rsidP="009645ED">
      <w:pPr>
        <w:pStyle w:val="AllowPageBreak"/>
      </w:pPr>
    </w:p>
    <w:p w:rsidR="00000000" w:rsidRPr="009645ED" w:rsidP="009645ED">
      <w:pPr>
        <w:pStyle w:val="Heading1"/>
      </w:pPr>
      <w:bookmarkStart w:id="2" w:name="O_1267764"/>
      <w:bookmarkEnd w:id="2"/>
      <w:r w:rsidRPr="009645ED">
        <w:t>Application</w:t>
      </w:r>
    </w:p>
    <w:tbl>
      <w:tblPr>
        <w:tblW w:w="9497" w:type="dxa"/>
        <w:tblLayout w:type="fixed"/>
        <w:tblCellMar>
          <w:left w:w="62" w:type="dxa"/>
          <w:right w:w="62" w:type="dxa"/>
        </w:tblCellMar>
        <w:tblLook w:val="0000"/>
      </w:tblPr>
      <w:tblGrid>
        <w:gridCol w:w="9497"/>
      </w:tblGrid>
      <w:tr w:rsidTr="00964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t>This unit involves the skills and knowledge required to apply mater</w:t>
            </w:r>
            <w:r w:rsidRPr="009645ED">
              <w:t xml:space="preserve">iel logistics processes and procedures in accordance with relevant organisational policy and procedures. </w:t>
            </w:r>
          </w:p>
          <w:p w:rsidR="00000000" w:rsidRPr="009645ED" w:rsidP="009645ED">
            <w:pPr>
              <w:pStyle w:val="BodyText"/>
            </w:pPr>
            <w:r w:rsidRPr="009645ED">
              <w:t>It includes preparing to apply, applying, monitoring and reporting on materiel logistics support processes and procedures that occur throughout the wh</w:t>
            </w:r>
            <w:r w:rsidRPr="009645ED">
              <w:t>ole materiel life cycle, from concept to acquisition, through to sustainment and disposal. It also includes maintaining records for materiel logistics processes and procedures in accordance with relevant organisational policy and procedures.</w:t>
            </w:r>
          </w:p>
          <w:p w:rsidR="00000000" w:rsidRPr="009645ED" w:rsidP="009645ED">
            <w:pPr>
              <w:pStyle w:val="BodyText"/>
            </w:pPr>
            <w:r w:rsidRPr="009645ED">
              <w:t>The applicatio</w:t>
            </w:r>
            <w:r w:rsidRPr="009645ED">
              <w:t xml:space="preserve">n of processes and procedures is specific to a variety of materiel logistics component processes including administrative procedures, data collection and storage, and data retrieval. </w:t>
            </w:r>
          </w:p>
          <w:p w:rsidR="00000000" w:rsidRPr="009645ED" w:rsidP="009645ED">
            <w:pPr>
              <w:pStyle w:val="BodyText"/>
            </w:pPr>
            <w:r w:rsidRPr="009645ED">
              <w:t>This unit was developed for integrated logistics support and materiel su</w:t>
            </w:r>
            <w:r w:rsidRPr="009645ED">
              <w:t>stainment specialists working within materiel logistics but may be applicable to individuals in broader logistics roles.</w:t>
            </w:r>
          </w:p>
          <w:p w:rsidR="00000000" w:rsidRPr="009645ED" w:rsidP="009645ED">
            <w:pPr>
              <w:pStyle w:val="BodyText"/>
            </w:pPr>
            <w:r w:rsidRPr="009645ED">
              <w:t>Individuals work independently or as part of a team under direct or indirect supervision, use discretion and judgement, and take respon</w:t>
            </w:r>
            <w:r w:rsidRPr="009645ED">
              <w:t xml:space="preserve">sibility for the quality of their outputs. </w:t>
            </w:r>
          </w:p>
          <w:p w:rsidR="00000000" w:rsidRPr="009645ED" w:rsidP="009645ED">
            <w:pPr>
              <w:pStyle w:val="BodyText"/>
            </w:pPr>
            <w:r w:rsidRPr="009645ED">
              <w:t>No licensing, legislative or certification requirements apply to this unit at the time of publication.</w:t>
            </w:r>
          </w:p>
        </w:tc>
      </w:tr>
    </w:tbl>
    <w:p w:rsidR="00000000" w:rsidRPr="009645ED" w:rsidP="009645ED">
      <w:pPr>
        <w:pStyle w:val="NoPaddingFontSize1"/>
      </w:pPr>
    </w:p>
    <w:p w:rsidR="00000000" w:rsidRPr="009645ED" w:rsidP="009645ED">
      <w:pPr>
        <w:pStyle w:val="AllowPageBreak"/>
      </w:pPr>
    </w:p>
    <w:p w:rsidR="00000000" w:rsidRPr="009645ED" w:rsidP="009645ED">
      <w:pPr>
        <w:pStyle w:val="Heading1"/>
      </w:pPr>
      <w:bookmarkStart w:id="3" w:name="O_1267765"/>
      <w:bookmarkEnd w:id="3"/>
      <w:r w:rsidRPr="009645ED">
        <w:t>Pre-requisite Unit</w:t>
      </w:r>
    </w:p>
    <w:tbl>
      <w:tblPr>
        <w:tblW w:w="9497" w:type="dxa"/>
        <w:tblLayout w:type="fixed"/>
        <w:tblCellMar>
          <w:left w:w="62" w:type="dxa"/>
          <w:right w:w="62" w:type="dxa"/>
        </w:tblCellMar>
        <w:tblLook w:val="0000"/>
      </w:tblPr>
      <w:tblGrid>
        <w:gridCol w:w="9497"/>
      </w:tblGrid>
      <w:tr w:rsidTr="00964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t>Not applicable.</w:t>
            </w:r>
          </w:p>
        </w:tc>
      </w:tr>
    </w:tbl>
    <w:p w:rsidR="00000000" w:rsidRPr="009645ED" w:rsidP="009645ED">
      <w:pPr>
        <w:pStyle w:val="NoPaddingFontSize1"/>
      </w:pPr>
    </w:p>
    <w:p w:rsidR="00000000" w:rsidRPr="009645ED" w:rsidP="009645ED">
      <w:pPr>
        <w:pStyle w:val="AllowPageBreak"/>
      </w:pPr>
    </w:p>
    <w:p w:rsidR="00000000" w:rsidRPr="009645ED" w:rsidP="009645ED">
      <w:pPr>
        <w:pStyle w:val="Heading1"/>
      </w:pPr>
      <w:bookmarkStart w:id="4" w:name="O_1267766"/>
      <w:bookmarkEnd w:id="4"/>
      <w:r w:rsidRPr="009645ED">
        <w:t>Competency Field</w:t>
      </w:r>
    </w:p>
    <w:tbl>
      <w:tblPr>
        <w:tblW w:w="9497" w:type="dxa"/>
        <w:tblLayout w:type="fixed"/>
        <w:tblCellMar>
          <w:left w:w="62" w:type="dxa"/>
          <w:right w:w="62" w:type="dxa"/>
        </w:tblCellMar>
        <w:tblLook w:val="0000"/>
      </w:tblPr>
      <w:tblGrid>
        <w:gridCol w:w="9497"/>
      </w:tblGrid>
      <w:tr w:rsidTr="00964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t>X – Logistics</w:t>
            </w:r>
          </w:p>
        </w:tc>
      </w:tr>
    </w:tbl>
    <w:p w:rsidR="00000000" w:rsidRPr="009645ED" w:rsidP="009645ED">
      <w:pPr>
        <w:pStyle w:val="NoPaddingFontSize1"/>
      </w:pPr>
    </w:p>
    <w:p w:rsidR="00000000" w:rsidRPr="009645ED" w:rsidP="009645ED">
      <w:pPr>
        <w:pStyle w:val="AllowPageBreak"/>
      </w:pPr>
    </w:p>
    <w:p w:rsidR="00000000" w:rsidRPr="009645ED" w:rsidP="009645ED">
      <w:pPr>
        <w:pStyle w:val="Heading1"/>
      </w:pPr>
      <w:bookmarkStart w:id="5" w:name="O_1267767"/>
      <w:bookmarkEnd w:id="5"/>
      <w:r w:rsidRPr="009645ED">
        <w:t>Unit Sector</w:t>
      </w:r>
    </w:p>
    <w:tbl>
      <w:tblPr>
        <w:tblW w:w="9497" w:type="dxa"/>
        <w:tblLayout w:type="fixed"/>
        <w:tblCellMar>
          <w:left w:w="62" w:type="dxa"/>
          <w:right w:w="62" w:type="dxa"/>
        </w:tblCellMar>
        <w:tblLook w:val="0000"/>
      </w:tblPr>
      <w:tblGrid>
        <w:gridCol w:w="9497"/>
      </w:tblGrid>
      <w:tr w:rsidTr="00964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t>Not applicable.</w:t>
            </w:r>
          </w:p>
        </w:tc>
      </w:tr>
    </w:tbl>
    <w:p w:rsidR="00000000" w:rsidRPr="009645ED" w:rsidP="009645ED">
      <w:pPr>
        <w:pStyle w:val="NoPaddingFontSize1"/>
      </w:pPr>
    </w:p>
    <w:p w:rsidR="00000000" w:rsidRPr="009645ED" w:rsidP="009645ED">
      <w:pPr>
        <w:pStyle w:val="AllowPageBreak"/>
      </w:pPr>
    </w:p>
    <w:p w:rsidR="00000000" w:rsidRPr="009645ED" w:rsidP="009645ED">
      <w:pPr>
        <w:pStyle w:val="Heading1"/>
      </w:pPr>
      <w:bookmarkStart w:id="6" w:name="O_1267768"/>
      <w:bookmarkEnd w:id="6"/>
      <w:r w:rsidRPr="009645ED">
        <w:t>Elements and Performance Criteria</w:t>
      </w:r>
    </w:p>
    <w:tbl>
      <w:tblPr>
        <w:tblW w:w="9497" w:type="dxa"/>
        <w:tblLayout w:type="fixed"/>
        <w:tblCellMar>
          <w:left w:w="62" w:type="dxa"/>
          <w:right w:w="62" w:type="dxa"/>
        </w:tblCellMar>
        <w:tblLook w:val="0000"/>
      </w:tblPr>
      <w:tblGrid>
        <w:gridCol w:w="441"/>
        <w:gridCol w:w="1629"/>
        <w:gridCol w:w="2631"/>
        <w:gridCol w:w="4796"/>
      </w:tblGrid>
      <w:tr w:rsidTr="009645ED">
        <w:tblPrEx>
          <w:tblW w:w="9497" w:type="dxa"/>
          <w:tblLayout w:type="fixed"/>
          <w:tblCellMar>
            <w:left w:w="62" w:type="dxa"/>
            <w:right w:w="62" w:type="dxa"/>
          </w:tblCellMar>
          <w:tblLook w:val="0000"/>
        </w:tblPrEx>
        <w:tc>
          <w:tcPr>
            <w:tcW w:w="2070" w:type="dxa"/>
            <w:gridSpan w:val="2"/>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t xml:space="preserve">Elements describe </w:t>
            </w:r>
            <w:r w:rsidRPr="009645ED">
              <w:t>the essential outcomes.</w:t>
            </w:r>
          </w:p>
        </w:tc>
        <w:tc>
          <w:tcPr>
            <w:tcW w:w="7427" w:type="dxa"/>
            <w:gridSpan w:val="2"/>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t xml:space="preserve">Performance criteria describe the performance needed to demonstrate </w:t>
            </w:r>
            <w:r w:rsidRPr="009645ED">
              <w:t>achievement of the element.</w:t>
            </w:r>
          </w:p>
        </w:tc>
      </w:tr>
      <w:tr w:rsidTr="009645ED">
        <w:tblPrEx>
          <w:tblW w:w="9497" w:type="dxa"/>
          <w:tblLayout w:type="fixed"/>
          <w:tblCellMar>
            <w:left w:w="62" w:type="dxa"/>
            <w:right w:w="62" w:type="dxa"/>
          </w:tblCellMar>
          <w:tblLook w:val="0000"/>
        </w:tblPrEx>
        <w:tc>
          <w:tcPr>
            <w:tcW w:w="441" w:type="dxa"/>
            <w:vMerge w:val="restart"/>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rPr>
                <w:rStyle w:val="SpecialBold"/>
              </w:rPr>
              <w:t>1</w:t>
            </w:r>
          </w:p>
        </w:tc>
        <w:tc>
          <w:tcPr>
            <w:tcW w:w="1629" w:type="dxa"/>
            <w:vMerge w:val="restart"/>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rPr>
                <w:rStyle w:val="SpecialBold"/>
              </w:rPr>
              <w:t>Prepare to apply materiel logistics processes and procedures</w:t>
            </w:r>
          </w:p>
        </w:tc>
        <w:tc>
          <w:tcPr>
            <w:tcW w:w="2631"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rPr>
                <w:rStyle w:val="SpecialBold"/>
              </w:rPr>
              <w:t>1.1</w:t>
            </w:r>
          </w:p>
        </w:tc>
        <w:tc>
          <w:tcPr>
            <w:tcW w:w="4796"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t>Requirement for applying materiel logistics processes and procedures is identified and confirmed from work requests/instructions</w:t>
            </w:r>
          </w:p>
        </w:tc>
      </w:tr>
      <w:tr w:rsidTr="009645ED">
        <w:tblPrEx>
          <w:tblW w:w="9497" w:type="dxa"/>
          <w:tblLayout w:type="fixed"/>
          <w:tblCellMar>
            <w:left w:w="62" w:type="dxa"/>
            <w:right w:w="62" w:type="dxa"/>
          </w:tblCellMar>
          <w:tblLook w:val="0000"/>
        </w:tblPrEx>
        <w:tc>
          <w:tcPr>
            <w:tcW w:w="44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629" w:type="dxa"/>
            <w:vMerge/>
            <w:tcBorders>
              <w:top w:val="nil"/>
              <w:left w:val="nil"/>
              <w:bottom w:val="nil"/>
              <w:right w:val="nil"/>
            </w:tcBorders>
            <w:tcMar>
              <w:top w:w="0" w:type="dxa"/>
              <w:left w:w="62" w:type="dxa"/>
              <w:bottom w:w="0" w:type="dxa"/>
              <w:right w:w="62" w:type="dxa"/>
            </w:tcMar>
          </w:tcPr>
          <w:p w:rsidR="00000000" w:rsidRPr="009645ED">
            <w:pPr>
              <w:pStyle w:val="BodyText"/>
              <w:keepLines w:val="0"/>
            </w:pPr>
          </w:p>
        </w:tc>
        <w:tc>
          <w:tcPr>
            <w:tcW w:w="2631"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rPr>
                <w:rStyle w:val="SpecialBold"/>
              </w:rPr>
              <w:t>1.2</w:t>
            </w:r>
          </w:p>
        </w:tc>
        <w:tc>
          <w:tcPr>
            <w:tcW w:w="4796"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t>Work health and safety (WHS)/occupational health and sa</w:t>
            </w:r>
            <w:r w:rsidRPr="009645ED">
              <w:t>fety (OHS) requirements, including those contained in organisational procedures, are applied throughout the operation</w:t>
            </w:r>
          </w:p>
        </w:tc>
      </w:tr>
      <w:tr w:rsidTr="009645ED">
        <w:tblPrEx>
          <w:tblW w:w="9497" w:type="dxa"/>
          <w:tblLayout w:type="fixed"/>
          <w:tblCellMar>
            <w:left w:w="62" w:type="dxa"/>
            <w:right w:w="62" w:type="dxa"/>
          </w:tblCellMar>
          <w:tblLook w:val="0000"/>
        </w:tblPrEx>
        <w:tc>
          <w:tcPr>
            <w:tcW w:w="44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629" w:type="dxa"/>
            <w:vMerge/>
            <w:tcBorders>
              <w:top w:val="nil"/>
              <w:left w:val="nil"/>
              <w:bottom w:val="nil"/>
              <w:right w:val="nil"/>
            </w:tcBorders>
            <w:tcMar>
              <w:top w:w="0" w:type="dxa"/>
              <w:left w:w="62" w:type="dxa"/>
              <w:bottom w:w="0" w:type="dxa"/>
              <w:right w:w="62" w:type="dxa"/>
            </w:tcMar>
          </w:tcPr>
          <w:p w:rsidR="00000000" w:rsidRPr="009645ED">
            <w:pPr>
              <w:pStyle w:val="BodyText"/>
              <w:keepLines w:val="0"/>
            </w:pPr>
          </w:p>
        </w:tc>
        <w:tc>
          <w:tcPr>
            <w:tcW w:w="2631"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rPr>
                <w:rStyle w:val="SpecialBold"/>
              </w:rPr>
              <w:t>1.3</w:t>
            </w:r>
          </w:p>
        </w:tc>
        <w:tc>
          <w:tcPr>
            <w:tcW w:w="4796"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t>Required resources and equipment are identified, acquired and prepared in accordance with organisational procedures</w:t>
            </w:r>
          </w:p>
        </w:tc>
      </w:tr>
      <w:tr w:rsidTr="009645ED">
        <w:tblPrEx>
          <w:tblW w:w="9497" w:type="dxa"/>
          <w:tblLayout w:type="fixed"/>
          <w:tblCellMar>
            <w:left w:w="62" w:type="dxa"/>
            <w:right w:w="62" w:type="dxa"/>
          </w:tblCellMar>
          <w:tblLook w:val="0000"/>
        </w:tblPrEx>
        <w:tc>
          <w:tcPr>
            <w:tcW w:w="44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629" w:type="dxa"/>
            <w:vMerge/>
            <w:tcBorders>
              <w:top w:val="nil"/>
              <w:left w:val="nil"/>
              <w:bottom w:val="nil"/>
              <w:right w:val="nil"/>
            </w:tcBorders>
            <w:tcMar>
              <w:top w:w="0" w:type="dxa"/>
              <w:left w:w="62" w:type="dxa"/>
              <w:bottom w:w="0" w:type="dxa"/>
              <w:right w:w="62" w:type="dxa"/>
            </w:tcMar>
          </w:tcPr>
          <w:p w:rsidR="00000000" w:rsidRPr="009645ED">
            <w:pPr>
              <w:pStyle w:val="BodyText"/>
              <w:keepLines w:val="0"/>
            </w:pPr>
          </w:p>
        </w:tc>
        <w:tc>
          <w:tcPr>
            <w:tcW w:w="2631"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rPr>
                <w:rStyle w:val="SpecialBold"/>
              </w:rPr>
              <w:t>1.4</w:t>
            </w:r>
          </w:p>
        </w:tc>
        <w:tc>
          <w:tcPr>
            <w:tcW w:w="4796"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t>Sources of information relevant to materiel logistics requirements are identified and relevant information is obtained in accordance with organisational policy and procedures</w:t>
            </w:r>
          </w:p>
        </w:tc>
      </w:tr>
      <w:tr w:rsidTr="009645ED">
        <w:tblPrEx>
          <w:tblW w:w="9497" w:type="dxa"/>
          <w:tblLayout w:type="fixed"/>
          <w:tblCellMar>
            <w:left w:w="62" w:type="dxa"/>
            <w:right w:w="62" w:type="dxa"/>
          </w:tblCellMar>
          <w:tblLook w:val="0000"/>
        </w:tblPrEx>
        <w:tc>
          <w:tcPr>
            <w:tcW w:w="441" w:type="dxa"/>
            <w:vMerge w:val="restart"/>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rPr>
                <w:rStyle w:val="SpecialBold"/>
              </w:rPr>
              <w:t>2</w:t>
            </w:r>
          </w:p>
        </w:tc>
        <w:tc>
          <w:tcPr>
            <w:tcW w:w="1629" w:type="dxa"/>
            <w:vMerge w:val="restart"/>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rPr>
                <w:rStyle w:val="SpecialBold"/>
              </w:rPr>
              <w:t>Apply materiel logistics processes and procedures</w:t>
            </w:r>
          </w:p>
        </w:tc>
        <w:tc>
          <w:tcPr>
            <w:tcW w:w="2631"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rPr>
                <w:rStyle w:val="SpecialBold"/>
              </w:rPr>
              <w:t>2.1</w:t>
            </w:r>
          </w:p>
        </w:tc>
        <w:tc>
          <w:tcPr>
            <w:tcW w:w="4796"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t>Materiel logistics proce</w:t>
            </w:r>
            <w:r w:rsidRPr="009645ED">
              <w:t>sses and procedures are implemented and monitored within resource constraints</w:t>
            </w:r>
          </w:p>
        </w:tc>
      </w:tr>
      <w:tr w:rsidTr="009645ED">
        <w:tblPrEx>
          <w:tblW w:w="9497" w:type="dxa"/>
          <w:tblLayout w:type="fixed"/>
          <w:tblCellMar>
            <w:left w:w="62" w:type="dxa"/>
            <w:right w:w="62" w:type="dxa"/>
          </w:tblCellMar>
          <w:tblLook w:val="0000"/>
        </w:tblPrEx>
        <w:tc>
          <w:tcPr>
            <w:tcW w:w="44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629" w:type="dxa"/>
            <w:vMerge/>
            <w:tcBorders>
              <w:top w:val="nil"/>
              <w:left w:val="nil"/>
              <w:bottom w:val="nil"/>
              <w:right w:val="nil"/>
            </w:tcBorders>
            <w:tcMar>
              <w:top w:w="0" w:type="dxa"/>
              <w:left w:w="62" w:type="dxa"/>
              <w:bottom w:w="0" w:type="dxa"/>
              <w:right w:w="62" w:type="dxa"/>
            </w:tcMar>
          </w:tcPr>
          <w:p w:rsidR="00000000" w:rsidRPr="009645ED">
            <w:pPr>
              <w:pStyle w:val="BodyText"/>
              <w:keepLines w:val="0"/>
            </w:pPr>
          </w:p>
        </w:tc>
        <w:tc>
          <w:tcPr>
            <w:tcW w:w="2631"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rPr>
                <w:rStyle w:val="SpecialBold"/>
              </w:rPr>
              <w:t>2.2</w:t>
            </w:r>
          </w:p>
        </w:tc>
        <w:tc>
          <w:tcPr>
            <w:tcW w:w="4796"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t>Materiel logistics processes and procedures are amended based on changing circumstances in accordance with organisational policy and procedures</w:t>
            </w:r>
          </w:p>
        </w:tc>
      </w:tr>
      <w:tr w:rsidTr="009645ED">
        <w:tblPrEx>
          <w:tblW w:w="9497" w:type="dxa"/>
          <w:tblLayout w:type="fixed"/>
          <w:tblCellMar>
            <w:left w:w="62" w:type="dxa"/>
            <w:right w:w="62" w:type="dxa"/>
          </w:tblCellMar>
          <w:tblLook w:val="0000"/>
        </w:tblPrEx>
        <w:tc>
          <w:tcPr>
            <w:tcW w:w="441" w:type="dxa"/>
            <w:vMerge w:val="restart"/>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rPr>
                <w:rStyle w:val="SpecialBold"/>
              </w:rPr>
              <w:t>3</w:t>
            </w:r>
          </w:p>
        </w:tc>
        <w:tc>
          <w:tcPr>
            <w:tcW w:w="1629" w:type="dxa"/>
            <w:vMerge w:val="restart"/>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rPr>
                <w:rStyle w:val="SpecialBold"/>
              </w:rPr>
              <w:t>Monitor and report on materiel logistics processes and procedures</w:t>
            </w:r>
          </w:p>
        </w:tc>
        <w:tc>
          <w:tcPr>
            <w:tcW w:w="2631"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rPr>
                <w:rStyle w:val="SpecialBold"/>
              </w:rPr>
              <w:t>3.1</w:t>
            </w:r>
          </w:p>
        </w:tc>
        <w:tc>
          <w:tcPr>
            <w:tcW w:w="4796"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t>Materiel logistics outcomes are reported to stakeholders in accordance with organisational policy and procedures</w:t>
            </w:r>
          </w:p>
        </w:tc>
      </w:tr>
      <w:tr w:rsidTr="009645ED">
        <w:tblPrEx>
          <w:tblW w:w="9497" w:type="dxa"/>
          <w:tblLayout w:type="fixed"/>
          <w:tblCellMar>
            <w:left w:w="62" w:type="dxa"/>
            <w:right w:w="62" w:type="dxa"/>
          </w:tblCellMar>
          <w:tblLook w:val="0000"/>
        </w:tblPrEx>
        <w:tc>
          <w:tcPr>
            <w:tcW w:w="44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629" w:type="dxa"/>
            <w:vMerge/>
            <w:tcBorders>
              <w:top w:val="nil"/>
              <w:left w:val="nil"/>
              <w:bottom w:val="nil"/>
              <w:right w:val="nil"/>
            </w:tcBorders>
            <w:tcMar>
              <w:top w:w="0" w:type="dxa"/>
              <w:left w:w="62" w:type="dxa"/>
              <w:bottom w:w="0" w:type="dxa"/>
              <w:right w:w="62" w:type="dxa"/>
            </w:tcMar>
          </w:tcPr>
          <w:p w:rsidR="00000000" w:rsidRPr="009645ED">
            <w:pPr>
              <w:pStyle w:val="BodyText"/>
              <w:keepLines w:val="0"/>
            </w:pPr>
          </w:p>
        </w:tc>
        <w:tc>
          <w:tcPr>
            <w:tcW w:w="2631"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rPr>
                <w:rStyle w:val="SpecialBold"/>
              </w:rPr>
              <w:t>3.2</w:t>
            </w:r>
          </w:p>
        </w:tc>
        <w:tc>
          <w:tcPr>
            <w:tcW w:w="4796"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t>Materiel logistics processes and procedures are monitored and revi</w:t>
            </w:r>
            <w:r w:rsidRPr="009645ED">
              <w:t>ewed to ensure systems and/or equipment capability is maintained, in accordance with organisational policy and procedures</w:t>
            </w:r>
          </w:p>
        </w:tc>
      </w:tr>
      <w:tr w:rsidTr="009645ED">
        <w:tblPrEx>
          <w:tblW w:w="9497" w:type="dxa"/>
          <w:tblLayout w:type="fixed"/>
          <w:tblCellMar>
            <w:left w:w="62" w:type="dxa"/>
            <w:right w:w="62" w:type="dxa"/>
          </w:tblCellMar>
          <w:tblLook w:val="0000"/>
        </w:tblPrEx>
        <w:tc>
          <w:tcPr>
            <w:tcW w:w="441" w:type="dxa"/>
            <w:vMerge w:val="restart"/>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rPr>
                <w:rStyle w:val="SpecialBold"/>
              </w:rPr>
              <w:t>4</w:t>
            </w:r>
          </w:p>
        </w:tc>
        <w:tc>
          <w:tcPr>
            <w:tcW w:w="1629" w:type="dxa"/>
            <w:vMerge w:val="restart"/>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rPr>
                <w:rStyle w:val="SpecialBold"/>
              </w:rPr>
              <w:t>Maintain records for materiel logistics processes and procedures</w:t>
            </w:r>
          </w:p>
        </w:tc>
        <w:tc>
          <w:tcPr>
            <w:tcW w:w="2631"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rPr>
                <w:rStyle w:val="SpecialBold"/>
              </w:rPr>
              <w:t>4.1</w:t>
            </w:r>
          </w:p>
        </w:tc>
        <w:tc>
          <w:tcPr>
            <w:tcW w:w="4796"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t>Materiel logistics records are maintained in accordance with organisational policy and procedures</w:t>
            </w:r>
          </w:p>
        </w:tc>
      </w:tr>
      <w:tr w:rsidTr="009645ED">
        <w:tblPrEx>
          <w:tblW w:w="9497" w:type="dxa"/>
          <w:tblLayout w:type="fixed"/>
          <w:tblCellMar>
            <w:left w:w="62" w:type="dxa"/>
            <w:right w:w="62" w:type="dxa"/>
          </w:tblCellMar>
          <w:tblLook w:val="0000"/>
        </w:tblPrEx>
        <w:tc>
          <w:tcPr>
            <w:tcW w:w="44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629" w:type="dxa"/>
            <w:vMerge/>
            <w:tcBorders>
              <w:top w:val="nil"/>
              <w:left w:val="nil"/>
              <w:bottom w:val="nil"/>
              <w:right w:val="nil"/>
            </w:tcBorders>
            <w:tcMar>
              <w:top w:w="0" w:type="dxa"/>
              <w:left w:w="62" w:type="dxa"/>
              <w:bottom w:w="0" w:type="dxa"/>
              <w:right w:w="62" w:type="dxa"/>
            </w:tcMar>
          </w:tcPr>
          <w:p w:rsidR="00000000" w:rsidRPr="009645ED">
            <w:pPr>
              <w:pStyle w:val="BodyText"/>
              <w:keepLines w:val="0"/>
            </w:pPr>
          </w:p>
        </w:tc>
        <w:tc>
          <w:tcPr>
            <w:tcW w:w="2631" w:type="dxa"/>
            <w:tcBorders>
              <w:top w:val="nil"/>
              <w:left w:val="nil"/>
              <w:bottom w:val="nil"/>
              <w:right w:val="nil"/>
            </w:tcBorders>
            <w:tcMar>
              <w:top w:w="0" w:type="dxa"/>
              <w:left w:w="62" w:type="dxa"/>
              <w:bottom w:w="0" w:type="dxa"/>
              <w:right w:w="62" w:type="dxa"/>
            </w:tcMar>
          </w:tcPr>
          <w:p w:rsidR="00000000" w:rsidP="009645ED">
            <w:pPr>
              <w:pStyle w:val="BodyText"/>
              <w:rPr>
                <w:lang w:val="en-NZ"/>
              </w:rPr>
            </w:pPr>
            <w:r w:rsidRPr="009645ED">
              <w:rPr>
                <w:rStyle w:val="SpecialBold"/>
              </w:rPr>
              <w:t>4.2</w:t>
            </w:r>
          </w:p>
        </w:tc>
        <w:tc>
          <w:tcPr>
            <w:tcW w:w="4796" w:type="dxa"/>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t>Materiel logistics records are amended and documented in accordance with organisational policy and procedures</w:t>
            </w:r>
          </w:p>
        </w:tc>
      </w:tr>
    </w:tbl>
    <w:p w:rsidR="00000000" w:rsidRPr="009645ED" w:rsidP="009645ED">
      <w:pPr>
        <w:pStyle w:val="NoPaddingFontSize1"/>
      </w:pPr>
    </w:p>
    <w:p w:rsidR="00000000" w:rsidRPr="009645ED" w:rsidP="009645ED">
      <w:pPr>
        <w:pStyle w:val="AllowPageBreak"/>
      </w:pPr>
    </w:p>
    <w:p w:rsidR="00000000" w:rsidRPr="009645ED" w:rsidP="009645ED">
      <w:pPr>
        <w:pStyle w:val="Heading1"/>
      </w:pPr>
      <w:bookmarkStart w:id="7" w:name="O_1267769"/>
      <w:bookmarkEnd w:id="7"/>
      <w:r w:rsidRPr="009645ED">
        <w:t>Foundation Skills</w:t>
      </w:r>
    </w:p>
    <w:tbl>
      <w:tblPr>
        <w:tblW w:w="9497" w:type="dxa"/>
        <w:tblLayout w:type="fixed"/>
        <w:tblCellMar>
          <w:left w:w="62" w:type="dxa"/>
          <w:right w:w="62" w:type="dxa"/>
        </w:tblCellMar>
        <w:tblLook w:val="0000"/>
      </w:tblPr>
      <w:tblGrid>
        <w:gridCol w:w="9497"/>
      </w:tblGrid>
      <w:tr w:rsidTr="00964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t>Foundation skills essential to performance are explicit in the performance criteria of this unit of competency.</w:t>
            </w:r>
          </w:p>
        </w:tc>
      </w:tr>
    </w:tbl>
    <w:p w:rsidR="00000000" w:rsidRPr="009645ED" w:rsidP="009645ED">
      <w:pPr>
        <w:pStyle w:val="NoPaddingFontSize1"/>
      </w:pPr>
    </w:p>
    <w:p w:rsidR="00000000" w:rsidRPr="009645ED" w:rsidP="009645ED">
      <w:pPr>
        <w:pStyle w:val="AllowPageBreak"/>
      </w:pPr>
    </w:p>
    <w:p w:rsidR="00000000" w:rsidRPr="009645ED" w:rsidP="009645ED">
      <w:pPr>
        <w:pStyle w:val="Heading1"/>
      </w:pPr>
      <w:bookmarkStart w:id="8" w:name="O_1267770"/>
      <w:bookmarkEnd w:id="8"/>
      <w:r w:rsidRPr="009645ED">
        <w:t>Range of Conditions</w:t>
      </w:r>
    </w:p>
    <w:tbl>
      <w:tblPr>
        <w:tblW w:w="9497" w:type="dxa"/>
        <w:tblLayout w:type="fixed"/>
        <w:tblCellMar>
          <w:left w:w="62" w:type="dxa"/>
          <w:right w:w="62" w:type="dxa"/>
        </w:tblCellMar>
        <w:tblLook w:val="0000"/>
      </w:tblPr>
      <w:tblGrid>
        <w:gridCol w:w="9497"/>
      </w:tblGrid>
      <w:tr w:rsidTr="00964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t>Range is restricted to essential operating conditions and any other variables essential to the work env</w:t>
            </w:r>
            <w:r w:rsidRPr="009645ED">
              <w:t>ironment.</w:t>
            </w:r>
          </w:p>
          <w:p w:rsidR="00000000" w:rsidRPr="009645ED" w:rsidP="009645ED">
            <w:pPr>
              <w:pStyle w:val="BodyText"/>
            </w:pPr>
            <w:r w:rsidRPr="009645ED">
              <w:t>Non-essential conditions can be found in the Companion Volume Implementation Guide.</w:t>
            </w:r>
          </w:p>
        </w:tc>
      </w:tr>
    </w:tbl>
    <w:p w:rsidR="00000000" w:rsidRPr="009645ED" w:rsidP="009645ED">
      <w:pPr>
        <w:pStyle w:val="NoPaddingFontSize1"/>
      </w:pPr>
    </w:p>
    <w:p w:rsidR="00000000" w:rsidRPr="009645ED" w:rsidP="009645ED">
      <w:pPr>
        <w:pStyle w:val="AllowPageBreak"/>
      </w:pPr>
    </w:p>
    <w:p w:rsidR="00000000" w:rsidRPr="009645ED" w:rsidP="009645ED">
      <w:pPr>
        <w:pStyle w:val="Heading1"/>
      </w:pPr>
      <w:bookmarkStart w:id="9" w:name="O_1267771"/>
      <w:bookmarkEnd w:id="9"/>
      <w:r w:rsidRPr="009645ED">
        <w:t>Unit Mapping Information</w:t>
      </w:r>
    </w:p>
    <w:tbl>
      <w:tblPr>
        <w:tblW w:w="9497" w:type="dxa"/>
        <w:tblLayout w:type="fixed"/>
        <w:tblCellMar>
          <w:left w:w="62" w:type="dxa"/>
          <w:right w:w="62" w:type="dxa"/>
        </w:tblCellMar>
        <w:tblLook w:val="0000"/>
      </w:tblPr>
      <w:tblGrid>
        <w:gridCol w:w="9497"/>
      </w:tblGrid>
      <w:tr w:rsidTr="00964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5ED" w:rsidP="009645ED">
            <w:pPr>
              <w:pStyle w:val="BodyText"/>
            </w:pPr>
            <w:r w:rsidRPr="009645ED">
              <w:t>This unit replaces but is not equivalent to TLIX4009 Apply integrated logistics support processes and procedures.</w:t>
            </w:r>
          </w:p>
          <w:p w:rsidR="00000000" w:rsidRPr="009645ED" w:rsidP="009645ED">
            <w:pPr>
              <w:pStyle w:val="BodyText"/>
            </w:pPr>
            <w:r w:rsidRPr="009645ED">
              <w:t>This unit replaces but is not equivalent to TLIX4018 Apply materiel sustainment process and procedures.</w:t>
            </w:r>
          </w:p>
        </w:tc>
      </w:tr>
    </w:tbl>
    <w:p w:rsidR="00000000" w:rsidRPr="009645ED" w:rsidP="009645ED">
      <w:pPr>
        <w:pStyle w:val="NoPaddingFontSize1"/>
      </w:pPr>
    </w:p>
    <w:p w:rsidR="00000000" w:rsidRPr="009645ED" w:rsidP="009645ED">
      <w:pPr>
        <w:pStyle w:val="AllowPageBreak"/>
      </w:pPr>
    </w:p>
    <w:p w:rsidR="00000000" w:rsidRPr="009645ED" w:rsidP="009645ED">
      <w:pPr>
        <w:pStyle w:val="Heading1"/>
      </w:pPr>
      <w:bookmarkStart w:id="10" w:name="O_1267778"/>
      <w:bookmarkEnd w:id="10"/>
      <w:r w:rsidRPr="009645ED">
        <w:t>Links</w:t>
      </w:r>
    </w:p>
    <w:p w:rsidR="00000000" w:rsidRPr="009645ED" w:rsidP="005F11FB">
      <w:pPr>
        <w:pStyle w:val="BodyText"/>
      </w:pPr>
      <w:r w:rsidRPr="009645E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75F6C">
        <w:rPr>
          <w:rStyle w:val="Hyperlink"/>
        </w:rPr>
        <w:t>https://vetnet.gov.au/Pages/TrainingDocs.aspx?q=df441c6e-213d-43e3-874c-0b3f7036d851</w:t>
      </w:r>
      <w:r>
        <w:fldChar w:fldCharType="end"/>
      </w:r>
    </w:p>
    <w:p w:rsidR="00000000" w:rsidRPr="009645ED" w:rsidP="009645ED"/>
    <w:sectPr w:rsidSect="009645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5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5ED" w:rsidRPr="005F11FB" w:rsidP="005F1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5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FB" w:rsidP="009645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11FB" w:rsidP="009645E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F11FB" w:rsidP="009645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5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45ED" w:rsidRPr="005F11FB" w:rsidP="005F11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5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FB" w:rsidRPr="002D2AF8" w:rsidP="009645ED">
    <w:pPr>
      <w:pStyle w:val="Header"/>
      <w:framePr w:wrap="around"/>
    </w:pPr>
    <w:r>
      <w:fldChar w:fldCharType="begin"/>
    </w:r>
    <w:r>
      <w:instrText xml:space="preserve"> TITLE   \* MERGEFORMAT </w:instrText>
    </w:r>
    <w:r>
      <w:fldChar w:fldCharType="separate"/>
    </w:r>
    <w:r>
      <w:t>TLIX0051 Apply materiel logistics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F11FB" w:rsidP="009645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5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5ED"/>
    <w:pPr>
      <w:spacing w:before="360" w:after="60"/>
      <w:outlineLvl w:val="0"/>
    </w:pPr>
    <w:rPr>
      <w:sz w:val="32"/>
    </w:rPr>
  </w:style>
  <w:style w:type="paragraph" w:styleId="Heading2">
    <w:name w:val="heading 2"/>
    <w:basedOn w:val="HeadingBase"/>
    <w:next w:val="BodyText"/>
    <w:link w:val="Heading2Char"/>
    <w:qFormat/>
    <w:rsid w:val="009645ED"/>
    <w:pPr>
      <w:keepLines/>
      <w:spacing w:before="240" w:after="120"/>
      <w:outlineLvl w:val="1"/>
    </w:pPr>
    <w:rPr>
      <w:sz w:val="28"/>
      <w:szCs w:val="40"/>
    </w:rPr>
  </w:style>
  <w:style w:type="paragraph" w:styleId="Heading3">
    <w:name w:val="heading 3"/>
    <w:basedOn w:val="HeadingBase"/>
    <w:next w:val="BodyText"/>
    <w:link w:val="Heading3Char"/>
    <w:qFormat/>
    <w:rsid w:val="009645ED"/>
    <w:pPr>
      <w:spacing w:before="180" w:after="120"/>
      <w:outlineLvl w:val="2"/>
    </w:pPr>
    <w:rPr>
      <w:spacing w:val="-10"/>
      <w:kern w:val="32"/>
    </w:rPr>
  </w:style>
  <w:style w:type="paragraph" w:styleId="Heading4">
    <w:name w:val="heading 4"/>
    <w:basedOn w:val="HeadingBase"/>
    <w:next w:val="BodyText"/>
    <w:link w:val="Heading4Char"/>
    <w:qFormat/>
    <w:rsid w:val="009645ED"/>
    <w:pPr>
      <w:spacing w:before="160" w:after="120"/>
      <w:outlineLvl w:val="3"/>
    </w:pPr>
    <w:rPr>
      <w:sz w:val="22"/>
    </w:rPr>
  </w:style>
  <w:style w:type="paragraph" w:styleId="Heading5">
    <w:name w:val="heading 5"/>
    <w:basedOn w:val="HeadingBase"/>
    <w:next w:val="Normal"/>
    <w:link w:val="Heading5Char"/>
    <w:qFormat/>
    <w:rsid w:val="009645ED"/>
    <w:pPr>
      <w:spacing w:before="80"/>
      <w:outlineLvl w:val="4"/>
    </w:pPr>
    <w:rPr>
      <w:color w:val="918585"/>
      <w:sz w:val="20"/>
    </w:rPr>
  </w:style>
  <w:style w:type="paragraph" w:styleId="Heading6">
    <w:name w:val="heading 6"/>
    <w:basedOn w:val="HeadingBase"/>
    <w:next w:val="Normal"/>
    <w:link w:val="Heading6Char"/>
    <w:qFormat/>
    <w:rsid w:val="009645ED"/>
    <w:pPr>
      <w:spacing w:before="60"/>
      <w:outlineLvl w:val="5"/>
    </w:pPr>
    <w:rPr>
      <w:color w:val="918585"/>
      <w:sz w:val="20"/>
    </w:rPr>
  </w:style>
  <w:style w:type="paragraph" w:styleId="Heading7">
    <w:name w:val="heading 7"/>
    <w:basedOn w:val="Normal"/>
    <w:next w:val="Normal"/>
    <w:link w:val="Heading7Char"/>
    <w:qFormat/>
    <w:rsid w:val="009645ED"/>
    <w:pPr>
      <w:ind w:left="720"/>
      <w:outlineLvl w:val="6"/>
    </w:pPr>
    <w:rPr>
      <w:i/>
    </w:rPr>
  </w:style>
  <w:style w:type="paragraph" w:styleId="Heading8">
    <w:name w:val="heading 8"/>
    <w:basedOn w:val="Normal"/>
    <w:next w:val="Normal"/>
    <w:link w:val="Heading8Char"/>
    <w:qFormat/>
    <w:rsid w:val="009645ED"/>
    <w:pPr>
      <w:ind w:left="720"/>
      <w:outlineLvl w:val="7"/>
    </w:pPr>
    <w:rPr>
      <w:i/>
    </w:rPr>
  </w:style>
  <w:style w:type="paragraph" w:styleId="Heading9">
    <w:name w:val="heading 9"/>
    <w:basedOn w:val="Normal"/>
    <w:next w:val="Normal"/>
    <w:link w:val="Heading9Char"/>
    <w:qFormat/>
    <w:rsid w:val="009645ED"/>
    <w:pPr>
      <w:ind w:left="720"/>
      <w:outlineLvl w:val="8"/>
    </w:pPr>
    <w:rPr>
      <w:i/>
    </w:rPr>
  </w:style>
  <w:style w:type="character" w:default="1" w:styleId="DefaultParagraphFont">
    <w:name w:val="Default Paragraph Font"/>
    <w:uiPriority w:val="1"/>
    <w:unhideWhenUsed/>
    <w:rsid w:val="009645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5ED"/>
  </w:style>
  <w:style w:type="character" w:customStyle="1" w:styleId="Heading1Char">
    <w:name w:val="Heading 1 Char"/>
    <w:basedOn w:val="DefaultParagraphFont"/>
    <w:link w:val="Heading1"/>
    <w:rsid w:val="009645ED"/>
    <w:rPr>
      <w:rFonts w:ascii="Times New Roman" w:eastAsia="Times New Roman" w:hAnsi="Times New Roman" w:cs="Times New Roman"/>
      <w:b/>
      <w:sz w:val="32"/>
      <w:szCs w:val="20"/>
      <w:lang w:eastAsia="en-US"/>
    </w:rPr>
  </w:style>
  <w:style w:type="paragraph" w:styleId="BodyText">
    <w:name w:val="Body Text"/>
    <w:basedOn w:val="Normal"/>
    <w:link w:val="BodyTextChar"/>
    <w:rsid w:val="009645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45ED"/>
    <w:rPr>
      <w:rFonts w:ascii="Times New Roman" w:eastAsia="Times New Roman" w:hAnsi="Times New Roman" w:cs="Times New Roman"/>
      <w:sz w:val="24"/>
      <w:lang w:eastAsia="en-US"/>
    </w:rPr>
  </w:style>
  <w:style w:type="character" w:customStyle="1" w:styleId="SpecialBold">
    <w:name w:val="Special Bold"/>
    <w:basedOn w:val="DefaultParagraphFont"/>
    <w:rsid w:val="009645ED"/>
    <w:rPr>
      <w:b/>
      <w:spacing w:val="0"/>
    </w:rPr>
  </w:style>
  <w:style w:type="paragraph" w:customStyle="1" w:styleId="SuperHeading">
    <w:name w:val="SuperHeading"/>
    <w:basedOn w:val="Normal"/>
    <w:rsid w:val="009645ED"/>
    <w:pPr>
      <w:spacing w:before="240" w:after="120"/>
      <w:outlineLvl w:val="0"/>
    </w:pPr>
    <w:rPr>
      <w:rFonts w:ascii="Times New Roman" w:hAnsi="Times New Roman"/>
      <w:b/>
      <w:sz w:val="32"/>
    </w:rPr>
  </w:style>
  <w:style w:type="paragraph" w:customStyle="1" w:styleId="AllowPageBreak">
    <w:name w:val="AllowPageBreak"/>
    <w:rsid w:val="009645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45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5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5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5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5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5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5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5ED"/>
    <w:rPr>
      <w:rFonts w:ascii="Courier New" w:eastAsia="Times New Roman" w:hAnsi="Courier New" w:cs="Times New Roman"/>
      <w:i/>
      <w:szCs w:val="20"/>
      <w:lang w:eastAsia="en-US"/>
    </w:rPr>
  </w:style>
  <w:style w:type="paragraph" w:customStyle="1" w:styleId="HeadingBase">
    <w:name w:val="Heading Base"/>
    <w:rsid w:val="009645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5ED"/>
    <w:pPr>
      <w:tabs>
        <w:tab w:val="right" w:leader="dot" w:pos="9072"/>
      </w:tabs>
      <w:ind w:left="567"/>
    </w:pPr>
    <w:rPr>
      <w:szCs w:val="22"/>
    </w:rPr>
  </w:style>
  <w:style w:type="paragraph" w:customStyle="1" w:styleId="TOCBase">
    <w:name w:val="TOC Base"/>
    <w:rsid w:val="009645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5ED"/>
    <w:pPr>
      <w:tabs>
        <w:tab w:val="right" w:leader="dot" w:pos="9072"/>
      </w:tabs>
      <w:spacing w:before="40" w:after="40"/>
      <w:ind w:left="284"/>
    </w:pPr>
    <w:rPr>
      <w:rFonts w:ascii="Times New Roman" w:hAnsi="Times New Roman"/>
    </w:rPr>
  </w:style>
  <w:style w:type="paragraph" w:styleId="TOC1">
    <w:name w:val="toc 1"/>
    <w:basedOn w:val="TOCBase"/>
    <w:next w:val="Normal"/>
    <w:rsid w:val="009645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5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5ED"/>
    <w:rPr>
      <w:rFonts w:ascii="Times New Roman" w:eastAsia="Times New Roman" w:hAnsi="Times New Roman" w:cs="Times New Roman"/>
      <w:sz w:val="16"/>
      <w:lang w:eastAsia="en-US"/>
    </w:rPr>
  </w:style>
  <w:style w:type="paragraph" w:styleId="Title">
    <w:name w:val="Title"/>
    <w:basedOn w:val="HeadingBase"/>
    <w:link w:val="TitleChar"/>
    <w:qFormat/>
    <w:rsid w:val="009645ED"/>
    <w:pPr>
      <w:spacing w:before="5040"/>
      <w:jc w:val="center"/>
    </w:pPr>
    <w:rPr>
      <w:sz w:val="48"/>
      <w:szCs w:val="72"/>
      <w:lang w:val="en-US"/>
    </w:rPr>
  </w:style>
  <w:style w:type="character" w:customStyle="1" w:styleId="TitleChar">
    <w:name w:val="Title Char"/>
    <w:basedOn w:val="DefaultParagraphFont"/>
    <w:link w:val="Title"/>
    <w:rsid w:val="009645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5ED"/>
    <w:pPr>
      <w:tabs>
        <w:tab w:val="left" w:pos="3600"/>
        <w:tab w:val="left" w:pos="3958"/>
      </w:tabs>
    </w:pPr>
  </w:style>
  <w:style w:type="paragraph" w:styleId="List">
    <w:name w:val="List"/>
    <w:basedOn w:val="BodyText"/>
    <w:next w:val="BodyText"/>
    <w:rsid w:val="009645ED"/>
    <w:pPr>
      <w:tabs>
        <w:tab w:val="left" w:pos="340"/>
      </w:tabs>
      <w:spacing w:before="60" w:after="60"/>
      <w:ind w:left="340" w:hanging="340"/>
    </w:pPr>
  </w:style>
  <w:style w:type="paragraph" w:styleId="ListBullet">
    <w:name w:val="List Bullet"/>
    <w:basedOn w:val="List"/>
    <w:rsid w:val="009645ED"/>
    <w:pPr>
      <w:numPr>
        <w:numId w:val="10"/>
      </w:numPr>
      <w:tabs>
        <w:tab w:val="clear" w:pos="340"/>
      </w:tabs>
      <w:spacing w:before="40" w:after="40"/>
    </w:pPr>
  </w:style>
  <w:style w:type="paragraph" w:customStyle="1" w:styleId="Note">
    <w:name w:val="Note"/>
    <w:basedOn w:val="BodyText"/>
    <w:rsid w:val="009645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5ED"/>
    <w:pPr>
      <w:framePr w:wrap="auto" w:hAnchor="text" w:y="6049"/>
    </w:pPr>
    <w:rPr>
      <w:color w:val="000000"/>
      <w:sz w:val="40"/>
    </w:rPr>
  </w:style>
  <w:style w:type="paragraph" w:customStyle="1" w:styleId="TOCTitle">
    <w:name w:val="TOCTitle"/>
    <w:basedOn w:val="Heading1"/>
    <w:rsid w:val="009645ED"/>
    <w:pPr>
      <w:spacing w:after="240"/>
      <w:jc w:val="center"/>
      <w:outlineLvl w:val="9"/>
    </w:pPr>
    <w:rPr>
      <w:caps/>
    </w:rPr>
  </w:style>
  <w:style w:type="paragraph" w:customStyle="1" w:styleId="Version">
    <w:name w:val="Version"/>
    <w:rsid w:val="009645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45ED"/>
    <w:pPr>
      <w:numPr>
        <w:numId w:val="11"/>
      </w:numPr>
      <w:tabs>
        <w:tab w:val="clear" w:pos="680"/>
      </w:tabs>
    </w:pPr>
  </w:style>
  <w:style w:type="paragraph" w:styleId="Index1">
    <w:name w:val="index 1"/>
    <w:basedOn w:val="Normal"/>
    <w:next w:val="Normal"/>
    <w:semiHidden/>
    <w:rsid w:val="009645ED"/>
    <w:pPr>
      <w:keepNext w:val="0"/>
      <w:tabs>
        <w:tab w:val="right" w:pos="4176"/>
      </w:tabs>
      <w:ind w:left="198" w:hanging="198"/>
    </w:pPr>
    <w:rPr>
      <w:rFonts w:ascii="Garamond" w:hAnsi="Garamond"/>
    </w:rPr>
  </w:style>
  <w:style w:type="paragraph" w:styleId="IndexHeading">
    <w:name w:val="index heading"/>
    <w:basedOn w:val="Normal"/>
    <w:next w:val="Index1"/>
    <w:semiHidden/>
    <w:rsid w:val="009645ED"/>
    <w:pPr>
      <w:spacing w:before="120" w:after="120"/>
    </w:pPr>
    <w:rPr>
      <w:rFonts w:ascii="Arial" w:hAnsi="Arial"/>
      <w:b/>
      <w:color w:val="918585"/>
      <w:sz w:val="24"/>
    </w:rPr>
  </w:style>
  <w:style w:type="paragraph" w:styleId="Header">
    <w:name w:val="header"/>
    <w:basedOn w:val="Normal"/>
    <w:link w:val="HeaderChar"/>
    <w:rsid w:val="009645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5ED"/>
    <w:rPr>
      <w:rFonts w:ascii="Times New Roman" w:eastAsia="Times New Roman" w:hAnsi="Times New Roman" w:cs="Times New Roman"/>
      <w:sz w:val="16"/>
      <w:szCs w:val="20"/>
      <w:lang w:val="en-GB" w:eastAsia="en-US"/>
    </w:rPr>
  </w:style>
  <w:style w:type="paragraph" w:customStyle="1" w:styleId="Chapter">
    <w:name w:val="Chapter"/>
    <w:basedOn w:val="Normal"/>
    <w:rsid w:val="009645ED"/>
    <w:pPr>
      <w:spacing w:before="240"/>
    </w:pPr>
    <w:rPr>
      <w:rFonts w:ascii="Times New Roman" w:hAnsi="Times New Roman"/>
      <w:smallCaps/>
      <w:spacing w:val="80"/>
      <w:sz w:val="28"/>
    </w:rPr>
  </w:style>
  <w:style w:type="paragraph" w:customStyle="1" w:styleId="InChapter">
    <w:name w:val="InChapter"/>
    <w:basedOn w:val="Heading3"/>
    <w:rsid w:val="009645ED"/>
    <w:pPr>
      <w:spacing w:after="240"/>
      <w:outlineLvl w:val="9"/>
    </w:pPr>
    <w:rPr>
      <w:noProof/>
    </w:rPr>
  </w:style>
  <w:style w:type="paragraph" w:styleId="Index2">
    <w:name w:val="index 2"/>
    <w:basedOn w:val="Normal"/>
    <w:next w:val="Normal"/>
    <w:semiHidden/>
    <w:rsid w:val="009645ED"/>
    <w:pPr>
      <w:tabs>
        <w:tab w:val="right" w:pos="4176"/>
      </w:tabs>
      <w:ind w:left="568" w:hanging="284"/>
    </w:pPr>
    <w:rPr>
      <w:rFonts w:ascii="Garamond" w:hAnsi="Garamond"/>
    </w:rPr>
  </w:style>
  <w:style w:type="paragraph" w:customStyle="1" w:styleId="Byline">
    <w:name w:val="Byline"/>
    <w:rsid w:val="009645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5ED"/>
    <w:pPr>
      <w:tabs>
        <w:tab w:val="clear" w:pos="3600"/>
        <w:tab w:val="clear" w:pos="3958"/>
      </w:tabs>
      <w:jc w:val="right"/>
    </w:pPr>
  </w:style>
  <w:style w:type="character" w:styleId="Emphasis">
    <w:name w:val="Emphasis"/>
    <w:basedOn w:val="DefaultParagraphFont"/>
    <w:qFormat/>
    <w:rsid w:val="009645ED"/>
    <w:rPr>
      <w:i/>
    </w:rPr>
  </w:style>
  <w:style w:type="paragraph" w:styleId="Caption">
    <w:name w:val="caption"/>
    <w:basedOn w:val="BodyText"/>
    <w:next w:val="Normal"/>
    <w:qFormat/>
    <w:rsid w:val="009645ED"/>
    <w:pPr>
      <w:framePr w:w="2268" w:hSpace="181" w:vSpace="181" w:wrap="around" w:vAnchor="text" w:hAnchor="page" w:x="1135" w:y="285" w:anchorLock="1"/>
    </w:pPr>
    <w:rPr>
      <w:i/>
    </w:rPr>
  </w:style>
  <w:style w:type="paragraph" w:customStyle="1" w:styleId="MiniTOCTitle">
    <w:name w:val="MiniTOCTitle"/>
    <w:basedOn w:val="Heading4"/>
    <w:rsid w:val="009645ED"/>
    <w:pPr>
      <w:spacing w:before="240"/>
      <w:outlineLvl w:val="9"/>
    </w:pPr>
    <w:rPr>
      <w:noProof/>
      <w:sz w:val="24"/>
    </w:rPr>
  </w:style>
  <w:style w:type="paragraph" w:customStyle="1" w:styleId="MiniTOCItem">
    <w:name w:val="MiniTOCItem"/>
    <w:basedOn w:val="ListBullet"/>
    <w:rsid w:val="009645ED"/>
    <w:pPr>
      <w:numPr>
        <w:numId w:val="0"/>
      </w:numPr>
      <w:tabs>
        <w:tab w:val="right" w:leader="dot" w:pos="6521"/>
      </w:tabs>
      <w:spacing w:before="0" w:after="0"/>
    </w:pPr>
  </w:style>
  <w:style w:type="paragraph" w:customStyle="1" w:styleId="TOFTitle">
    <w:name w:val="TOFTitle"/>
    <w:basedOn w:val="TOCTitle"/>
    <w:rsid w:val="009645ED"/>
  </w:style>
  <w:style w:type="paragraph" w:styleId="TableofFigures">
    <w:name w:val="table of figures"/>
    <w:basedOn w:val="Normal"/>
    <w:next w:val="Normal"/>
    <w:semiHidden/>
    <w:rsid w:val="009645ED"/>
    <w:pPr>
      <w:tabs>
        <w:tab w:val="right" w:leader="dot" w:pos="9072"/>
      </w:tabs>
      <w:ind w:left="970" w:hanging="403"/>
    </w:pPr>
    <w:rPr>
      <w:rFonts w:ascii="Times New Roman" w:hAnsi="Times New Roman"/>
      <w:b/>
    </w:rPr>
  </w:style>
  <w:style w:type="paragraph" w:styleId="ListNumber">
    <w:name w:val="List Number"/>
    <w:basedOn w:val="List"/>
    <w:rsid w:val="009645ED"/>
    <w:pPr>
      <w:numPr>
        <w:numId w:val="13"/>
      </w:numPr>
      <w:tabs>
        <w:tab w:val="clear" w:pos="340"/>
      </w:tabs>
    </w:pPr>
  </w:style>
  <w:style w:type="character" w:customStyle="1" w:styleId="WingdingSymbols">
    <w:name w:val="Wingding Symbols"/>
    <w:rsid w:val="009645ED"/>
    <w:rPr>
      <w:rFonts w:ascii="Wingdings" w:hAnsi="Wingdings"/>
    </w:rPr>
  </w:style>
  <w:style w:type="paragraph" w:customStyle="1" w:styleId="TableHeading">
    <w:name w:val="Table Heading"/>
    <w:basedOn w:val="HeadingBase"/>
    <w:rsid w:val="009645ED"/>
    <w:pPr>
      <w:keepLines/>
      <w:pBdr>
        <w:bottom w:val="single" w:sz="6" w:space="1" w:color="918585"/>
      </w:pBdr>
      <w:spacing w:before="240"/>
    </w:pPr>
  </w:style>
  <w:style w:type="character" w:customStyle="1" w:styleId="HotSpot">
    <w:name w:val="HotSpot"/>
    <w:rsid w:val="009645ED"/>
    <w:rPr>
      <w:color w:val="0033CC"/>
      <w:u w:val="none"/>
    </w:rPr>
  </w:style>
  <w:style w:type="paragraph" w:customStyle="1" w:styleId="BodyTextRight">
    <w:name w:val="Body Text Right"/>
    <w:basedOn w:val="BodyText"/>
    <w:rsid w:val="009645ED"/>
    <w:pPr>
      <w:spacing w:before="0" w:after="0"/>
      <w:jc w:val="right"/>
    </w:pPr>
  </w:style>
  <w:style w:type="paragraph" w:styleId="Index3">
    <w:name w:val="index 3"/>
    <w:basedOn w:val="ListNumber2"/>
    <w:next w:val="Normal"/>
    <w:semiHidden/>
    <w:rsid w:val="009645ED"/>
    <w:pPr>
      <w:numPr>
        <w:numId w:val="0"/>
      </w:numPr>
      <w:tabs>
        <w:tab w:val="right" w:leader="dot" w:pos="4176"/>
      </w:tabs>
    </w:pPr>
  </w:style>
  <w:style w:type="paragraph" w:styleId="ListNumber2">
    <w:name w:val="List Number 2"/>
    <w:basedOn w:val="List2"/>
    <w:rsid w:val="009645ED"/>
    <w:pPr>
      <w:numPr>
        <w:numId w:val="8"/>
      </w:numPr>
      <w:tabs>
        <w:tab w:val="clear" w:pos="1060"/>
      </w:tabs>
    </w:pPr>
  </w:style>
  <w:style w:type="paragraph" w:customStyle="1" w:styleId="MarginNote">
    <w:name w:val="Margin Note"/>
    <w:basedOn w:val="BodyText"/>
    <w:rsid w:val="009645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5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5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5ED"/>
    <w:rPr>
      <w:sz w:val="32"/>
    </w:rPr>
  </w:style>
  <w:style w:type="paragraph" w:customStyle="1" w:styleId="HeadingProcedure">
    <w:name w:val="Heading Procedure"/>
    <w:basedOn w:val="HeadingBase"/>
    <w:next w:val="Normal"/>
    <w:rsid w:val="009645ED"/>
    <w:pPr>
      <w:tabs>
        <w:tab w:val="left" w:pos="0"/>
      </w:tabs>
      <w:spacing w:before="120" w:after="60"/>
    </w:pPr>
    <w:rPr>
      <w:i/>
      <w:color w:val="918585"/>
      <w:sz w:val="22"/>
    </w:rPr>
  </w:style>
  <w:style w:type="paragraph" w:customStyle="1" w:styleId="TableBodyText">
    <w:name w:val="Table Body Text"/>
    <w:basedOn w:val="BodyText"/>
    <w:rsid w:val="009645ED"/>
    <w:pPr>
      <w:spacing w:before="60" w:after="60"/>
    </w:pPr>
  </w:style>
  <w:style w:type="paragraph" w:styleId="ListContinue">
    <w:name w:val="List Continue"/>
    <w:basedOn w:val="List"/>
    <w:rsid w:val="009645ED"/>
    <w:pPr>
      <w:ind w:firstLine="0"/>
    </w:pPr>
  </w:style>
  <w:style w:type="paragraph" w:customStyle="1" w:styleId="ListNote">
    <w:name w:val="List Note"/>
    <w:basedOn w:val="List"/>
    <w:rsid w:val="009645ED"/>
    <w:pPr>
      <w:pBdr>
        <w:top w:val="single" w:sz="6" w:space="2" w:color="918585"/>
        <w:bottom w:val="single" w:sz="6" w:space="2" w:color="918585"/>
      </w:pBdr>
      <w:tabs>
        <w:tab w:val="left" w:pos="1021"/>
      </w:tabs>
      <w:ind w:firstLine="0"/>
    </w:pPr>
  </w:style>
  <w:style w:type="paragraph" w:customStyle="1" w:styleId="Warning">
    <w:name w:val="Warning"/>
    <w:basedOn w:val="BodyText"/>
    <w:rsid w:val="009645ED"/>
    <w:pPr>
      <w:shd w:val="clear" w:color="auto" w:fill="D9D9D9"/>
      <w:tabs>
        <w:tab w:val="left" w:pos="992"/>
      </w:tabs>
      <w:ind w:left="119" w:right="119"/>
    </w:pPr>
    <w:rPr>
      <w:sz w:val="20"/>
    </w:rPr>
  </w:style>
  <w:style w:type="paragraph" w:customStyle="1" w:styleId="MarginIcons">
    <w:name w:val="Margin Icons"/>
    <w:basedOn w:val="BodyText"/>
    <w:rsid w:val="009645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5ED"/>
    <w:rPr>
      <w:rFonts w:ascii="Courier New" w:hAnsi="Courier New"/>
    </w:rPr>
  </w:style>
  <w:style w:type="paragraph" w:customStyle="1" w:styleId="NoteBullet">
    <w:name w:val="Note Bullet"/>
    <w:basedOn w:val="Note"/>
    <w:rsid w:val="009645ED"/>
    <w:pPr>
      <w:tabs>
        <w:tab w:val="clear" w:pos="680"/>
      </w:tabs>
      <w:spacing w:before="60" w:after="60"/>
    </w:pPr>
  </w:style>
  <w:style w:type="paragraph" w:customStyle="1" w:styleId="SubHeading2">
    <w:name w:val="SubHeading2"/>
    <w:basedOn w:val="HeadingBase"/>
    <w:rsid w:val="009645ED"/>
    <w:pPr>
      <w:spacing w:before="240" w:after="60"/>
    </w:pPr>
    <w:rPr>
      <w:sz w:val="20"/>
    </w:rPr>
  </w:style>
  <w:style w:type="paragraph" w:customStyle="1" w:styleId="SubHeading1">
    <w:name w:val="SubHeading1"/>
    <w:basedOn w:val="HeadingBase"/>
    <w:rsid w:val="009645ED"/>
    <w:pPr>
      <w:spacing w:before="240" w:after="60"/>
    </w:pPr>
    <w:rPr>
      <w:color w:val="918585"/>
      <w:sz w:val="22"/>
    </w:rPr>
  </w:style>
  <w:style w:type="paragraph" w:customStyle="1" w:styleId="SideHeading">
    <w:name w:val="Side Heading"/>
    <w:basedOn w:val="HeadingBase"/>
    <w:rsid w:val="009645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5ED"/>
    <w:pPr>
      <w:numPr>
        <w:numId w:val="9"/>
      </w:numPr>
    </w:pPr>
  </w:style>
  <w:style w:type="paragraph" w:styleId="PlainText">
    <w:name w:val="Plain Text"/>
    <w:basedOn w:val="Normal"/>
    <w:link w:val="PlainTextChar"/>
    <w:rsid w:val="009645ED"/>
    <w:rPr>
      <w:sz w:val="20"/>
    </w:rPr>
  </w:style>
  <w:style w:type="character" w:customStyle="1" w:styleId="PlainTextChar">
    <w:name w:val="Plain Text Char"/>
    <w:basedOn w:val="DefaultParagraphFont"/>
    <w:link w:val="PlainText"/>
    <w:rsid w:val="009645ED"/>
    <w:rPr>
      <w:rFonts w:ascii="Courier New" w:eastAsia="Times New Roman" w:hAnsi="Courier New" w:cs="Times New Roman"/>
      <w:sz w:val="20"/>
      <w:szCs w:val="20"/>
      <w:lang w:eastAsia="en-US"/>
    </w:rPr>
  </w:style>
  <w:style w:type="character" w:customStyle="1" w:styleId="MenuOption">
    <w:name w:val="Menu Option"/>
    <w:basedOn w:val="DefaultParagraphFont"/>
    <w:rsid w:val="009645ED"/>
    <w:rPr>
      <w:b/>
      <w:smallCaps/>
    </w:rPr>
  </w:style>
  <w:style w:type="paragraph" w:customStyle="1" w:styleId="TableListNumber">
    <w:name w:val="Table List Number"/>
    <w:basedOn w:val="ListNumber"/>
    <w:rsid w:val="009645ED"/>
    <w:pPr>
      <w:numPr>
        <w:numId w:val="0"/>
      </w:numPr>
    </w:pPr>
  </w:style>
  <w:style w:type="paragraph" w:styleId="TOC4">
    <w:name w:val="toc 4"/>
    <w:basedOn w:val="TOCBase"/>
    <w:next w:val="Normal"/>
    <w:semiHidden/>
    <w:rsid w:val="009645ED"/>
    <w:pPr>
      <w:tabs>
        <w:tab w:val="right" w:leader="dot" w:pos="9071"/>
      </w:tabs>
      <w:ind w:left="1701"/>
    </w:pPr>
  </w:style>
  <w:style w:type="paragraph" w:customStyle="1" w:styleId="ListAlpha">
    <w:name w:val="List Alpha"/>
    <w:basedOn w:val="List"/>
    <w:rsid w:val="009645ED"/>
    <w:pPr>
      <w:numPr>
        <w:numId w:val="7"/>
      </w:numPr>
    </w:pPr>
  </w:style>
  <w:style w:type="paragraph" w:customStyle="1" w:styleId="ListAlpha2">
    <w:name w:val="List Alpha 2"/>
    <w:basedOn w:val="List2"/>
    <w:rsid w:val="009645ED"/>
    <w:pPr>
      <w:numPr>
        <w:numId w:val="6"/>
      </w:numPr>
    </w:pPr>
  </w:style>
  <w:style w:type="paragraph" w:styleId="List2">
    <w:name w:val="List 2"/>
    <w:basedOn w:val="BodyText"/>
    <w:rsid w:val="009645ED"/>
    <w:pPr>
      <w:tabs>
        <w:tab w:val="left" w:pos="680"/>
      </w:tabs>
      <w:spacing w:before="60" w:after="60"/>
      <w:ind w:left="680" w:hanging="340"/>
    </w:pPr>
  </w:style>
  <w:style w:type="paragraph" w:styleId="List3">
    <w:name w:val="List 3"/>
    <w:basedOn w:val="BodyText"/>
    <w:rsid w:val="009645ED"/>
    <w:pPr>
      <w:tabs>
        <w:tab w:val="left" w:pos="1021"/>
      </w:tabs>
      <w:spacing w:before="60" w:after="60"/>
      <w:ind w:left="1020" w:hanging="340"/>
    </w:pPr>
  </w:style>
  <w:style w:type="paragraph" w:styleId="List4">
    <w:name w:val="List 4"/>
    <w:basedOn w:val="BodyText"/>
    <w:rsid w:val="009645ED"/>
    <w:pPr>
      <w:tabs>
        <w:tab w:val="left" w:pos="1361"/>
      </w:tabs>
      <w:spacing w:before="60" w:after="60"/>
      <w:ind w:left="1361" w:hanging="340"/>
    </w:pPr>
  </w:style>
  <w:style w:type="paragraph" w:styleId="List5">
    <w:name w:val="List 5"/>
    <w:basedOn w:val="BodyText"/>
    <w:rsid w:val="009645ED"/>
    <w:pPr>
      <w:tabs>
        <w:tab w:val="left" w:pos="1701"/>
      </w:tabs>
      <w:spacing w:before="60" w:after="60"/>
      <w:ind w:left="1701" w:hanging="340"/>
    </w:pPr>
  </w:style>
  <w:style w:type="paragraph" w:styleId="ListBullet3">
    <w:name w:val="List Bullet 3"/>
    <w:basedOn w:val="List3"/>
    <w:rsid w:val="009645ED"/>
    <w:pPr>
      <w:numPr>
        <w:numId w:val="12"/>
      </w:numPr>
      <w:tabs>
        <w:tab w:val="clear" w:pos="1021"/>
      </w:tabs>
      <w:ind w:left="1037" w:hanging="357"/>
    </w:pPr>
  </w:style>
  <w:style w:type="paragraph" w:styleId="ListBullet4">
    <w:name w:val="List Bullet 4"/>
    <w:basedOn w:val="List4"/>
    <w:rsid w:val="009645ED"/>
    <w:pPr>
      <w:numPr>
        <w:numId w:val="1"/>
      </w:numPr>
      <w:tabs>
        <w:tab w:val="clear" w:pos="1361"/>
      </w:tabs>
    </w:pPr>
  </w:style>
  <w:style w:type="paragraph" w:styleId="ListBullet5">
    <w:name w:val="List Bullet 5"/>
    <w:basedOn w:val="List5"/>
    <w:rsid w:val="009645ED"/>
    <w:pPr>
      <w:numPr>
        <w:numId w:val="2"/>
      </w:numPr>
    </w:pPr>
  </w:style>
  <w:style w:type="paragraph" w:styleId="ListContinue2">
    <w:name w:val="List Continue 2"/>
    <w:basedOn w:val="List2"/>
    <w:rsid w:val="009645ED"/>
    <w:pPr>
      <w:ind w:firstLine="0"/>
    </w:pPr>
  </w:style>
  <w:style w:type="paragraph" w:styleId="ListContinue3">
    <w:name w:val="List Continue 3"/>
    <w:basedOn w:val="List3"/>
    <w:rsid w:val="009645ED"/>
    <w:pPr>
      <w:ind w:left="1021" w:firstLine="0"/>
    </w:pPr>
  </w:style>
  <w:style w:type="paragraph" w:styleId="ListContinue4">
    <w:name w:val="List Continue 4"/>
    <w:basedOn w:val="List4"/>
    <w:rsid w:val="009645ED"/>
    <w:pPr>
      <w:ind w:firstLine="0"/>
    </w:pPr>
  </w:style>
  <w:style w:type="paragraph" w:styleId="ListContinue5">
    <w:name w:val="List Continue 5"/>
    <w:basedOn w:val="List5"/>
    <w:rsid w:val="009645ED"/>
    <w:pPr>
      <w:ind w:firstLine="0"/>
    </w:pPr>
  </w:style>
  <w:style w:type="paragraph" w:styleId="ListNumber3">
    <w:name w:val="List Number 3"/>
    <w:basedOn w:val="List3"/>
    <w:rsid w:val="009645ED"/>
    <w:pPr>
      <w:numPr>
        <w:numId w:val="3"/>
      </w:numPr>
    </w:pPr>
  </w:style>
  <w:style w:type="paragraph" w:styleId="ListNumber4">
    <w:name w:val="List Number 4"/>
    <w:basedOn w:val="List4"/>
    <w:rsid w:val="009645ED"/>
    <w:pPr>
      <w:numPr>
        <w:numId w:val="4"/>
      </w:numPr>
    </w:pPr>
  </w:style>
  <w:style w:type="paragraph" w:styleId="ListNumber5">
    <w:name w:val="List Number 5"/>
    <w:basedOn w:val="List5"/>
    <w:rsid w:val="009645ED"/>
    <w:pPr>
      <w:numPr>
        <w:numId w:val="5"/>
      </w:numPr>
    </w:pPr>
  </w:style>
  <w:style w:type="paragraph" w:styleId="BlockText">
    <w:name w:val="Block Text"/>
    <w:basedOn w:val="Normal"/>
    <w:rsid w:val="009645ED"/>
    <w:pPr>
      <w:spacing w:after="120"/>
      <w:ind w:left="1440" w:right="1440"/>
    </w:pPr>
  </w:style>
  <w:style w:type="character" w:customStyle="1" w:styleId="Subscript">
    <w:name w:val="Subscript"/>
    <w:basedOn w:val="DefaultParagraphFont"/>
    <w:rsid w:val="009645ED"/>
    <w:rPr>
      <w:sz w:val="16"/>
      <w:vertAlign w:val="subscript"/>
    </w:rPr>
  </w:style>
  <w:style w:type="character" w:customStyle="1" w:styleId="Superscript">
    <w:name w:val="Superscript"/>
    <w:basedOn w:val="DefaultParagraphFont"/>
    <w:rsid w:val="009645ED"/>
    <w:rPr>
      <w:sz w:val="16"/>
      <w:vertAlign w:val="superscript"/>
    </w:rPr>
  </w:style>
  <w:style w:type="character" w:customStyle="1" w:styleId="Symbols">
    <w:name w:val="Symbols"/>
    <w:basedOn w:val="DefaultParagraphFont"/>
    <w:rsid w:val="009645ED"/>
    <w:rPr>
      <w:rFonts w:ascii="Symbol" w:hAnsi="Symbol"/>
    </w:rPr>
  </w:style>
  <w:style w:type="character" w:customStyle="1" w:styleId="MenuOptions">
    <w:name w:val="Menu Options"/>
    <w:basedOn w:val="DefaultParagraphFont"/>
    <w:rsid w:val="009645ED"/>
    <w:rPr>
      <w:rFonts w:ascii="Arial Narrow" w:hAnsi="Arial Narrow"/>
      <w:smallCaps/>
    </w:rPr>
  </w:style>
  <w:style w:type="character" w:customStyle="1" w:styleId="Buttons">
    <w:name w:val="Buttons"/>
    <w:basedOn w:val="DefaultParagraphFont"/>
    <w:rsid w:val="009645ED"/>
    <w:rPr>
      <w:b/>
    </w:rPr>
  </w:style>
  <w:style w:type="character" w:customStyle="1" w:styleId="Underlined">
    <w:name w:val="Underlined"/>
    <w:basedOn w:val="DefaultParagraphFont"/>
    <w:rsid w:val="009645ED"/>
    <w:rPr>
      <w:u w:val="single"/>
    </w:rPr>
  </w:style>
  <w:style w:type="paragraph" w:customStyle="1" w:styleId="TableBodyTextRight">
    <w:name w:val="Table Body Text Right"/>
    <w:basedOn w:val="TableBodyText"/>
    <w:rsid w:val="009645ED"/>
    <w:pPr>
      <w:widowControl w:val="0"/>
      <w:autoSpaceDE w:val="0"/>
      <w:autoSpaceDN w:val="0"/>
      <w:adjustRightInd w:val="0"/>
      <w:jc w:val="right"/>
    </w:pPr>
    <w:rPr>
      <w:rFonts w:cs="Arial"/>
      <w:szCs w:val="18"/>
    </w:rPr>
  </w:style>
  <w:style w:type="paragraph" w:customStyle="1" w:styleId="CopyrightText">
    <w:name w:val="Copyright Text"/>
    <w:basedOn w:val="BodyText"/>
    <w:rsid w:val="009645ED"/>
    <w:rPr>
      <w:sz w:val="18"/>
    </w:rPr>
  </w:style>
  <w:style w:type="paragraph" w:customStyle="1" w:styleId="BodySmallRight">
    <w:name w:val="Body Small Right"/>
    <w:basedOn w:val="BodyTextRight"/>
    <w:rsid w:val="009645ED"/>
    <w:rPr>
      <w:sz w:val="18"/>
      <w:szCs w:val="18"/>
    </w:rPr>
  </w:style>
  <w:style w:type="paragraph" w:customStyle="1" w:styleId="MarginEdition">
    <w:name w:val="Margin Edition"/>
    <w:basedOn w:val="MarginNote"/>
    <w:rsid w:val="009645ED"/>
    <w:pPr>
      <w:spacing w:before="0" w:after="0"/>
    </w:pPr>
    <w:rPr>
      <w:rFonts w:ascii="Times New Roman" w:hAnsi="Times New Roman"/>
      <w:color w:val="999999"/>
    </w:rPr>
  </w:style>
  <w:style w:type="paragraph" w:customStyle="1" w:styleId="Spacer">
    <w:name w:val="Spacer"/>
    <w:basedOn w:val="Normal"/>
    <w:rsid w:val="009645ED"/>
    <w:rPr>
      <w:sz w:val="2"/>
      <w:szCs w:val="2"/>
    </w:rPr>
  </w:style>
  <w:style w:type="character" w:customStyle="1" w:styleId="Small">
    <w:name w:val="Small"/>
    <w:basedOn w:val="DefaultParagraphFont"/>
    <w:rsid w:val="009645ED"/>
    <w:rPr>
      <w:sz w:val="16"/>
    </w:rPr>
  </w:style>
  <w:style w:type="paragraph" w:customStyle="1" w:styleId="WideTable">
    <w:name w:val="Wide Table"/>
    <w:basedOn w:val="Normal"/>
    <w:rsid w:val="009645ED"/>
    <w:pPr>
      <w:ind w:left="-1418"/>
    </w:pPr>
    <w:rPr>
      <w:sz w:val="2"/>
      <w:szCs w:val="2"/>
    </w:rPr>
  </w:style>
  <w:style w:type="character" w:styleId="PageNumber">
    <w:name w:val="page number"/>
    <w:basedOn w:val="DefaultParagraphFont"/>
    <w:rsid w:val="009645ED"/>
  </w:style>
  <w:style w:type="paragraph" w:styleId="Quote">
    <w:name w:val="Quote"/>
    <w:basedOn w:val="Heading1"/>
    <w:link w:val="QuoteChar"/>
    <w:qFormat/>
    <w:rsid w:val="009645ED"/>
    <w:rPr>
      <w:b w:val="0"/>
      <w:sz w:val="72"/>
      <w:szCs w:val="72"/>
      <w:lang w:val="en-NZ"/>
    </w:rPr>
  </w:style>
  <w:style w:type="character" w:customStyle="1" w:styleId="QuoteChar">
    <w:name w:val="Quote Char"/>
    <w:basedOn w:val="DefaultParagraphFont"/>
    <w:link w:val="Quote"/>
    <w:rsid w:val="009645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5ED"/>
    <w:pPr>
      <w:pageBreakBefore/>
    </w:pPr>
  </w:style>
  <w:style w:type="paragraph" w:customStyle="1" w:styleId="Border">
    <w:name w:val="Border"/>
    <w:basedOn w:val="Normal"/>
    <w:qFormat/>
    <w:rsid w:val="009645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5ED"/>
    <w:rPr>
      <w:b/>
      <w:bCs/>
      <w:i/>
      <w:iCs/>
      <w:color w:val="auto"/>
    </w:rPr>
  </w:style>
  <w:style w:type="paragraph" w:styleId="IntenseQuote">
    <w:name w:val="Intense Quote"/>
    <w:basedOn w:val="Normal"/>
    <w:next w:val="Normal"/>
    <w:link w:val="IntenseQuoteChar"/>
    <w:uiPriority w:val="30"/>
    <w:qFormat/>
    <w:rsid w:val="009645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5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5ED"/>
    <w:rPr>
      <w:smallCaps/>
      <w:color w:val="auto"/>
      <w:u w:val="single"/>
    </w:rPr>
  </w:style>
  <w:style w:type="character" w:styleId="IntenseReference">
    <w:name w:val="Intense Reference"/>
    <w:basedOn w:val="DefaultParagraphFont"/>
    <w:uiPriority w:val="32"/>
    <w:qFormat/>
    <w:rsid w:val="009645ED"/>
    <w:rPr>
      <w:b/>
      <w:bCs/>
      <w:smallCaps/>
      <w:color w:val="auto"/>
      <w:spacing w:val="5"/>
      <w:u w:val="single"/>
    </w:rPr>
  </w:style>
  <w:style w:type="paragraph" w:customStyle="1" w:styleId="2ColumnHeading">
    <w:name w:val="2Column Heading"/>
    <w:basedOn w:val="BodyText"/>
    <w:qFormat/>
    <w:rsid w:val="009645ED"/>
    <w:pPr>
      <w:spacing w:after="60"/>
      <w:ind w:left="-2268"/>
    </w:pPr>
    <w:rPr>
      <w:b/>
    </w:rPr>
  </w:style>
  <w:style w:type="paragraph" w:customStyle="1" w:styleId="Heading1TOC">
    <w:name w:val="Heading1 TOC"/>
    <w:basedOn w:val="Normal"/>
    <w:qFormat/>
    <w:rsid w:val="009645ED"/>
    <w:pPr>
      <w:spacing w:before="240" w:after="120"/>
    </w:pPr>
    <w:rPr>
      <w:rFonts w:ascii="Times New Roman" w:hAnsi="Times New Roman"/>
      <w:b/>
      <w:sz w:val="32"/>
    </w:rPr>
  </w:style>
  <w:style w:type="paragraph" w:customStyle="1" w:styleId="Heading2TOC">
    <w:name w:val="Heading2 TOC"/>
    <w:basedOn w:val="Normal"/>
    <w:qFormat/>
    <w:rsid w:val="009645ED"/>
    <w:pPr>
      <w:spacing w:before="240" w:after="60"/>
    </w:pPr>
    <w:rPr>
      <w:rFonts w:ascii="Times New Roman" w:hAnsi="Times New Roman"/>
      <w:b/>
      <w:sz w:val="28"/>
    </w:rPr>
  </w:style>
  <w:style w:type="character" w:customStyle="1" w:styleId="Underline">
    <w:name w:val="Underline"/>
    <w:basedOn w:val="DefaultParagraphFont"/>
    <w:qFormat/>
    <w:rsid w:val="009645ED"/>
    <w:rPr>
      <w:u w:val="single"/>
    </w:rPr>
  </w:style>
  <w:style w:type="character" w:customStyle="1" w:styleId="BoldandItalics">
    <w:name w:val="Bold and Italics"/>
    <w:qFormat/>
    <w:rsid w:val="009645ED"/>
    <w:rPr>
      <w:b/>
      <w:i/>
      <w:u w:val="none"/>
    </w:rPr>
  </w:style>
  <w:style w:type="paragraph" w:styleId="BalloonText">
    <w:name w:val="Balloon Text"/>
    <w:basedOn w:val="Normal"/>
    <w:link w:val="BalloonTextChar"/>
    <w:rsid w:val="009645ED"/>
    <w:rPr>
      <w:rFonts w:ascii="Tahoma" w:hAnsi="Tahoma" w:cs="Tahoma"/>
      <w:sz w:val="16"/>
      <w:szCs w:val="16"/>
    </w:rPr>
  </w:style>
  <w:style w:type="character" w:customStyle="1" w:styleId="BalloonTextChar">
    <w:name w:val="Balloon Text Char"/>
    <w:basedOn w:val="DefaultParagraphFont"/>
    <w:link w:val="BalloonText"/>
    <w:rsid w:val="009645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5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45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5ED"/>
    <w:rPr>
      <w:b/>
      <w:color w:val="660033"/>
      <w:spacing w:val="0"/>
    </w:rPr>
  </w:style>
  <w:style w:type="paragraph" w:customStyle="1" w:styleId="Nameditemlist">
    <w:name w:val="Named item list"/>
    <w:basedOn w:val="BodyText"/>
    <w:qFormat/>
    <w:rsid w:val="009645ED"/>
    <w:pPr>
      <w:tabs>
        <w:tab w:val="left" w:pos="2835"/>
      </w:tabs>
      <w:ind w:left="2835" w:hanging="2835"/>
    </w:pPr>
  </w:style>
  <w:style w:type="paragraph" w:customStyle="1" w:styleId="BodyTextnopadding">
    <w:name w:val="Body Text no padding"/>
    <w:basedOn w:val="BodyText"/>
    <w:qFormat/>
    <w:rsid w:val="009645ED"/>
    <w:pPr>
      <w:spacing w:before="0" w:after="0"/>
    </w:pPr>
  </w:style>
  <w:style w:type="paragraph" w:customStyle="1" w:styleId="BodyTextBold">
    <w:name w:val="Body Text Bold"/>
    <w:basedOn w:val="BodyText"/>
    <w:qFormat/>
    <w:rsid w:val="009645ED"/>
    <w:rPr>
      <w:b/>
    </w:rPr>
  </w:style>
  <w:style w:type="character" w:styleId="Hyperlink">
    <w:name w:val="Hyperlink"/>
    <w:basedOn w:val="DefaultParagraphFont"/>
    <w:uiPriority w:val="99"/>
    <w:unhideWhenUsed/>
    <w:rsid w:val="005F11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3809</Characters>
  <Application>Microsoft Office Word</Application>
  <DocSecurity>0</DocSecurity>
  <Lines>165</Lines>
  <Paragraphs>70</Paragraphs>
  <ScaleCrop>false</ScaleCrop>
  <Company>Author-it Software Corporation Ltd.</Company>
  <LinksUpToDate>false</LinksUpToDate>
  <CharactersWithSpaces>4313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TLIX0051 Apply materiel logistics processes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2024-07-12T07:50:00Z</dcterms:created>
  <dcterms:modified xsi:type="dcterms:W3CDTF">2024-07-12T07:50:00Z</dcterms:modified>
</cp:coreProperties>
</file>