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CDD" w:rsidP="000B1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TLIX0050 Apply knowledge of technical regulatory framework</w:t>
      </w:r>
      <w:r>
        <w:fldChar w:fldCharType="end"/>
      </w:r>
    </w:p>
    <w:p w:rsidR="000B1CDD" w:rsidP="000B1CDD">
      <w:pPr>
        <w:pStyle w:val="Version"/>
        <w:sectPr w:rsidSect="008C2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C9A" w:rsidP="008C2C9A">
      <w:pPr>
        <w:pStyle w:val="SuperHeading"/>
      </w:pPr>
      <w:r w:rsidRPr="008C2C9A">
        <w:t>TLIX0050 Apply knowledge of technical regulatory framework</w:t>
      </w:r>
    </w:p>
    <w:p w:rsidR="00000000" w:rsidRPr="008C2C9A" w:rsidP="008C2C9A">
      <w:pPr>
        <w:pStyle w:val="Heading1"/>
      </w:pPr>
      <w:bookmarkStart w:id="1" w:name="O_1267744"/>
      <w:bookmarkEnd w:id="1"/>
      <w:r w:rsidRPr="008C2C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rPr>
                <w:rStyle w:val="SpecialBold"/>
              </w:rPr>
              <w:t xml:space="preserve">Release 1. </w:t>
            </w:r>
            <w:r w:rsidRPr="008C2C9A">
              <w:t>This is the first release of this unit of competency in the TLI Transport and Logistics Training Package.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2" w:name="O_1267745"/>
      <w:bookmarkEnd w:id="2"/>
      <w:r w:rsidRPr="008C2C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This unit involves the skills and knowledge required to apply knowl</w:t>
            </w:r>
            <w:r w:rsidRPr="008C2C9A">
              <w:t xml:space="preserve">edge of the technical regulatory framework. </w:t>
            </w:r>
          </w:p>
          <w:p w:rsidR="00000000" w:rsidRPr="008C2C9A" w:rsidP="008C2C9A">
            <w:pPr>
              <w:pStyle w:val="BodyText"/>
            </w:pPr>
            <w:r w:rsidRPr="008C2C9A">
              <w:t xml:space="preserve">It includes accessing and interpreting and using knowledge of the technical regulatory framework in accordance with relevant organisational policy and procedures. </w:t>
            </w:r>
          </w:p>
          <w:p w:rsidR="00000000" w:rsidRPr="008C2C9A" w:rsidP="008C2C9A">
            <w:pPr>
              <w:pStyle w:val="BodyText"/>
            </w:pPr>
            <w:r w:rsidRPr="008C2C9A">
              <w:t>The application of this knowledge is required b</w:t>
            </w:r>
            <w:r w:rsidRPr="008C2C9A">
              <w:t>y people who are not specialists of the technical regulatory framework but need the knowledge to inform their decision making. The application of technical regulatory framework knowledge is specific to a variety of component processes in materiel logistics</w:t>
            </w:r>
            <w:r w:rsidRPr="008C2C9A">
              <w:t xml:space="preserve"> activities.</w:t>
            </w:r>
          </w:p>
          <w:p w:rsidR="00000000" w:rsidRPr="008C2C9A" w:rsidP="008C2C9A">
            <w:pPr>
              <w:pStyle w:val="BodyText"/>
            </w:pPr>
            <w:r w:rsidRPr="008C2C9A">
              <w:t>This unit was developed for logistics specialists working within materiel logistics but may be applicable to individuals in broader logistics roles.</w:t>
            </w:r>
          </w:p>
          <w:p w:rsidR="00000000" w:rsidRPr="008C2C9A" w:rsidP="008C2C9A">
            <w:pPr>
              <w:pStyle w:val="BodyText"/>
            </w:pPr>
            <w:r w:rsidRPr="008C2C9A">
              <w:t xml:space="preserve">Individuals work independently or as part of a team under direct or indirect supervision, use </w:t>
            </w:r>
            <w:r w:rsidRPr="008C2C9A">
              <w:t>discretion and judgement, and take responsibility for the quality of their outputs.</w:t>
            </w:r>
          </w:p>
          <w:p w:rsidR="00000000" w:rsidRPr="008C2C9A" w:rsidP="008C2C9A">
            <w:pPr>
              <w:pStyle w:val="BodyText"/>
            </w:pPr>
            <w:r w:rsidRPr="008C2C9A">
              <w:t>No licensing, legislative or certification requirements apply to this unit at the time of publication.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3" w:name="O_1267746"/>
      <w:bookmarkEnd w:id="3"/>
      <w:r w:rsidRPr="008C2C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Not applicable.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4" w:name="O_1267747"/>
      <w:bookmarkEnd w:id="4"/>
      <w:r w:rsidRPr="008C2C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X – Logistics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5" w:name="O_1267748"/>
      <w:bookmarkEnd w:id="5"/>
      <w:r w:rsidRPr="008C2C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Not applicable.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6" w:name="O_1267749"/>
      <w:bookmarkEnd w:id="6"/>
      <w:r w:rsidRPr="008C2C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2"/>
        <w:gridCol w:w="3227"/>
        <w:gridCol w:w="1293"/>
        <w:gridCol w:w="4255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Elements describe the essential outcomes.</w:t>
            </w:r>
          </w:p>
        </w:tc>
        <w:tc>
          <w:tcPr>
            <w:tcW w:w="5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Performance criteria describe the performance needed to demonstrate achievement of the element.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rPr>
                <w:rStyle w:val="SpecialBold"/>
              </w:rPr>
              <w:t>1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rPr>
                <w:rStyle w:val="SpecialBold"/>
              </w:rPr>
              <w:t>Access and interpret relevant technical regulatory framework information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1.1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Relevant technical regulatory framework requirements are identified and obtained and checked for compliance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>
            <w:pPr>
              <w:pStyle w:val="BodyText"/>
              <w:keepLines w:val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1.2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Technical regulatory information obtained is analysed to determine relevance and application to the organisation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>
            <w:pPr>
              <w:pStyle w:val="BodyText"/>
              <w:keepLines w:val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1.3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Outcomes of the analy</w:t>
            </w:r>
            <w:r w:rsidRPr="008C2C9A">
              <w:t>sis are documented and recommendations relevant to technical regulatory requirements are determined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>
            <w:pPr>
              <w:pStyle w:val="BodyText"/>
              <w:keepLines w:val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1.4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Stakeholders are identified and consulted in accordance with regulatory requirements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rPr>
                <w:rStyle w:val="SpecialBold"/>
              </w:rPr>
              <w:t>2</w:t>
            </w:r>
          </w:p>
        </w:tc>
        <w:tc>
          <w:tcPr>
            <w:tcW w:w="32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rPr>
                <w:rStyle w:val="SpecialBold"/>
              </w:rPr>
              <w:t>Use knowledge of technical regulatory framework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2.1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Technical regulatory requirements and recommendations relevant to materiel and materiel logistics are applied in accordance with organisational policy and procedures and presented to relevant stakeholders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>
            <w:pPr>
              <w:pStyle w:val="BodyText"/>
              <w:keepLines w:val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2.2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t>Effectiveness of recommendations is assessed</w:t>
            </w:r>
            <w:r w:rsidRPr="008C2C9A">
              <w:t>, reviewed and recorded in accordance with organisational policy and procedures</w:t>
            </w:r>
          </w:p>
        </w:tc>
      </w:tr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>
            <w:pPr>
              <w:pStyle w:val="BodyText"/>
              <w:keepLines w:val="0"/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C9A">
            <w:pPr>
              <w:pStyle w:val="BodyText"/>
              <w:rPr>
                <w:lang w:val="en-NZ"/>
              </w:rPr>
            </w:pPr>
            <w:r w:rsidRPr="008C2C9A">
              <w:rPr>
                <w:rStyle w:val="SpecialBold"/>
              </w:rPr>
              <w:t>2.3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Recommendations are adjusted as required and documented for future application in accordance with organisational policy and procedures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7" w:name="O_1267750"/>
      <w:bookmarkEnd w:id="7"/>
      <w:r w:rsidRPr="008C2C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Foundation skills essential to performance are explicit in the performance criteria of this unit of competency.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8" w:name="O_1267751"/>
      <w:bookmarkEnd w:id="8"/>
      <w:r w:rsidRPr="008C2C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Range is restricted to essential operating conditions and any other variables essenti</w:t>
            </w:r>
            <w:r w:rsidRPr="008C2C9A">
              <w:t>al to the work environment.</w:t>
            </w:r>
          </w:p>
          <w:p w:rsidR="00000000" w:rsidRPr="008C2C9A" w:rsidP="008C2C9A">
            <w:pPr>
              <w:pStyle w:val="BodyText"/>
            </w:pPr>
            <w:r w:rsidRPr="008C2C9A">
              <w:t>Non-essential conditions can be found in the Companion Volume Implementation Guide.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9" w:name="O_1267752"/>
      <w:bookmarkEnd w:id="9"/>
      <w:r w:rsidRPr="008C2C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2C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C9A" w:rsidP="008C2C9A">
            <w:pPr>
              <w:pStyle w:val="BodyText"/>
            </w:pPr>
            <w:r w:rsidRPr="008C2C9A">
              <w:t>This unit replaces and is equivalent to TLIX4032 Apply knowledge of technical regulatory framework.</w:t>
            </w:r>
          </w:p>
        </w:tc>
      </w:tr>
    </w:tbl>
    <w:p w:rsidR="00000000" w:rsidRPr="008C2C9A" w:rsidP="008C2C9A">
      <w:pPr>
        <w:pStyle w:val="NoPaddingFontSize1"/>
      </w:pPr>
    </w:p>
    <w:p w:rsidR="00000000" w:rsidRPr="008C2C9A" w:rsidP="008C2C9A">
      <w:pPr>
        <w:pStyle w:val="AllowPageBreak"/>
      </w:pPr>
    </w:p>
    <w:p w:rsidR="00000000" w:rsidRPr="008C2C9A" w:rsidP="008C2C9A">
      <w:pPr>
        <w:pStyle w:val="Heading1"/>
      </w:pPr>
      <w:bookmarkStart w:id="10" w:name="O_1267759"/>
      <w:bookmarkEnd w:id="10"/>
      <w:r w:rsidRPr="008C2C9A">
        <w:t>Links</w:t>
      </w:r>
    </w:p>
    <w:p w:rsidR="00000000" w:rsidRPr="008C2C9A" w:rsidP="000B1CDD">
      <w:pPr>
        <w:pStyle w:val="BodyText"/>
      </w:pPr>
      <w:r w:rsidRPr="008C2C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69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2C9A" w:rsidP="008C2C9A"/>
    <w:sectPr w:rsidSect="008C2C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9A" w:rsidRPr="000B1CDD" w:rsidP="000B1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DD" w:rsidP="008C2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CDD" w:rsidP="008C2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B1CDD" w:rsidP="008C2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C9A" w:rsidRPr="000B1CDD" w:rsidP="000B1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DD" w:rsidRPr="002D2AF8" w:rsidP="008C2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TLIX0050 Apply knowledge of technical regulatory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B1CDD" w:rsidP="008C2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C9A"/>
  </w:style>
  <w:style w:type="character" w:customStyle="1" w:styleId="Heading1Char">
    <w:name w:val="Heading 1 Char"/>
    <w:basedOn w:val="DefaultParagraphFont"/>
    <w:link w:val="Heading1"/>
    <w:rsid w:val="008C2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C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2C9A"/>
    <w:rPr>
      <w:b/>
      <w:spacing w:val="0"/>
    </w:rPr>
  </w:style>
  <w:style w:type="paragraph" w:customStyle="1" w:styleId="SuperHeading">
    <w:name w:val="SuperHeading"/>
    <w:basedOn w:val="Normal"/>
    <w:rsid w:val="008C2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2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C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C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2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C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C9A"/>
    <w:rPr>
      <w:i/>
    </w:rPr>
  </w:style>
  <w:style w:type="paragraph" w:styleId="Caption">
    <w:name w:val="caption"/>
    <w:basedOn w:val="BodyText"/>
    <w:next w:val="Normal"/>
    <w:qFormat/>
    <w:rsid w:val="008C2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C9A"/>
  </w:style>
  <w:style w:type="paragraph" w:styleId="TableofFigures">
    <w:name w:val="table of figures"/>
    <w:basedOn w:val="Normal"/>
    <w:next w:val="Normal"/>
    <w:semiHidden/>
    <w:rsid w:val="008C2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C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2C9A"/>
    <w:rPr>
      <w:rFonts w:ascii="Wingdings" w:hAnsi="Wingdings"/>
    </w:rPr>
  </w:style>
  <w:style w:type="paragraph" w:customStyle="1" w:styleId="TableHeading">
    <w:name w:val="Table Heading"/>
    <w:basedOn w:val="HeadingBase"/>
    <w:rsid w:val="008C2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C9A"/>
    <w:rPr>
      <w:color w:val="0033CC"/>
      <w:u w:val="none"/>
    </w:rPr>
  </w:style>
  <w:style w:type="paragraph" w:customStyle="1" w:styleId="BodyTextRight">
    <w:name w:val="Body Text Right"/>
    <w:basedOn w:val="BodyText"/>
    <w:rsid w:val="008C2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C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C9A"/>
    <w:rPr>
      <w:sz w:val="32"/>
    </w:rPr>
  </w:style>
  <w:style w:type="paragraph" w:customStyle="1" w:styleId="HeadingProcedure">
    <w:name w:val="Heading Procedure"/>
    <w:basedOn w:val="HeadingBase"/>
    <w:next w:val="Normal"/>
    <w:rsid w:val="008C2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C9A"/>
    <w:pPr>
      <w:spacing w:before="60" w:after="60"/>
    </w:pPr>
  </w:style>
  <w:style w:type="paragraph" w:styleId="ListContinue">
    <w:name w:val="List Continue"/>
    <w:basedOn w:val="List"/>
    <w:rsid w:val="008C2C9A"/>
    <w:pPr>
      <w:ind w:firstLine="0"/>
    </w:pPr>
  </w:style>
  <w:style w:type="paragraph" w:customStyle="1" w:styleId="ListNote">
    <w:name w:val="List Note"/>
    <w:basedOn w:val="List"/>
    <w:rsid w:val="008C2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C9A"/>
    <w:rPr>
      <w:rFonts w:ascii="Courier New" w:hAnsi="Courier New"/>
    </w:rPr>
  </w:style>
  <w:style w:type="paragraph" w:customStyle="1" w:styleId="NoteBullet">
    <w:name w:val="Note Bullet"/>
    <w:basedOn w:val="Note"/>
    <w:rsid w:val="008C2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C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2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C9A"/>
    <w:rPr>
      <w:b/>
      <w:smallCaps/>
    </w:rPr>
  </w:style>
  <w:style w:type="paragraph" w:customStyle="1" w:styleId="TableListNumber">
    <w:name w:val="Table List Number"/>
    <w:basedOn w:val="ListNumber"/>
    <w:rsid w:val="008C2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C9A"/>
    <w:pPr>
      <w:numPr>
        <w:numId w:val="7"/>
      </w:numPr>
    </w:pPr>
  </w:style>
  <w:style w:type="paragraph" w:customStyle="1" w:styleId="ListAlpha2">
    <w:name w:val="List Alpha 2"/>
    <w:basedOn w:val="List2"/>
    <w:rsid w:val="008C2C9A"/>
    <w:pPr>
      <w:numPr>
        <w:numId w:val="6"/>
      </w:numPr>
    </w:pPr>
  </w:style>
  <w:style w:type="paragraph" w:styleId="List2">
    <w:name w:val="List 2"/>
    <w:basedOn w:val="BodyText"/>
    <w:rsid w:val="008C2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C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C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2C9A"/>
    <w:pPr>
      <w:numPr>
        <w:numId w:val="2"/>
      </w:numPr>
    </w:pPr>
  </w:style>
  <w:style w:type="paragraph" w:styleId="ListContinue2">
    <w:name w:val="List Continue 2"/>
    <w:basedOn w:val="List2"/>
    <w:rsid w:val="008C2C9A"/>
    <w:pPr>
      <w:ind w:firstLine="0"/>
    </w:pPr>
  </w:style>
  <w:style w:type="paragraph" w:styleId="ListContinue3">
    <w:name w:val="List Continue 3"/>
    <w:basedOn w:val="List3"/>
    <w:rsid w:val="008C2C9A"/>
    <w:pPr>
      <w:ind w:left="1021" w:firstLine="0"/>
    </w:pPr>
  </w:style>
  <w:style w:type="paragraph" w:styleId="ListContinue4">
    <w:name w:val="List Continue 4"/>
    <w:basedOn w:val="List4"/>
    <w:rsid w:val="008C2C9A"/>
    <w:pPr>
      <w:ind w:firstLine="0"/>
    </w:pPr>
  </w:style>
  <w:style w:type="paragraph" w:styleId="ListContinue5">
    <w:name w:val="List Continue 5"/>
    <w:basedOn w:val="List5"/>
    <w:rsid w:val="008C2C9A"/>
    <w:pPr>
      <w:ind w:firstLine="0"/>
    </w:pPr>
  </w:style>
  <w:style w:type="paragraph" w:styleId="ListNumber3">
    <w:name w:val="List Number 3"/>
    <w:basedOn w:val="List3"/>
    <w:rsid w:val="008C2C9A"/>
    <w:pPr>
      <w:numPr>
        <w:numId w:val="3"/>
      </w:numPr>
    </w:pPr>
  </w:style>
  <w:style w:type="paragraph" w:styleId="ListNumber4">
    <w:name w:val="List Number 4"/>
    <w:basedOn w:val="List4"/>
    <w:rsid w:val="008C2C9A"/>
    <w:pPr>
      <w:numPr>
        <w:numId w:val="4"/>
      </w:numPr>
    </w:pPr>
  </w:style>
  <w:style w:type="paragraph" w:styleId="ListNumber5">
    <w:name w:val="List Number 5"/>
    <w:basedOn w:val="List5"/>
    <w:rsid w:val="008C2C9A"/>
    <w:pPr>
      <w:numPr>
        <w:numId w:val="5"/>
      </w:numPr>
    </w:pPr>
  </w:style>
  <w:style w:type="paragraph" w:styleId="BlockText">
    <w:name w:val="Block Text"/>
    <w:basedOn w:val="Normal"/>
    <w:rsid w:val="008C2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C9A"/>
    <w:rPr>
      <w:sz w:val="16"/>
      <w:vertAlign w:val="superscript"/>
    </w:rPr>
  </w:style>
  <w:style w:type="character" w:customStyle="1" w:styleId="Symbols">
    <w:name w:val="Symbols"/>
    <w:basedOn w:val="DefaultParagraphFont"/>
    <w:rsid w:val="008C2C9A"/>
    <w:rPr>
      <w:rFonts w:ascii="Symbol" w:hAnsi="Symbol"/>
    </w:rPr>
  </w:style>
  <w:style w:type="character" w:customStyle="1" w:styleId="MenuOptions">
    <w:name w:val="Menu Options"/>
    <w:basedOn w:val="DefaultParagraphFont"/>
    <w:rsid w:val="008C2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C9A"/>
    <w:rPr>
      <w:b/>
    </w:rPr>
  </w:style>
  <w:style w:type="character" w:customStyle="1" w:styleId="Underlined">
    <w:name w:val="Underlined"/>
    <w:basedOn w:val="DefaultParagraphFont"/>
    <w:rsid w:val="008C2C9A"/>
    <w:rPr>
      <w:u w:val="single"/>
    </w:rPr>
  </w:style>
  <w:style w:type="paragraph" w:customStyle="1" w:styleId="TableBodyTextRight">
    <w:name w:val="Table Body Text Right"/>
    <w:basedOn w:val="TableBodyText"/>
    <w:rsid w:val="008C2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C9A"/>
    <w:rPr>
      <w:sz w:val="18"/>
    </w:rPr>
  </w:style>
  <w:style w:type="paragraph" w:customStyle="1" w:styleId="BodySmallRight">
    <w:name w:val="Body Small Right"/>
    <w:basedOn w:val="BodyTextRight"/>
    <w:rsid w:val="008C2C9A"/>
    <w:rPr>
      <w:sz w:val="18"/>
      <w:szCs w:val="18"/>
    </w:rPr>
  </w:style>
  <w:style w:type="paragraph" w:customStyle="1" w:styleId="MarginEdition">
    <w:name w:val="Margin Edition"/>
    <w:basedOn w:val="MarginNote"/>
    <w:rsid w:val="008C2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C9A"/>
    <w:rPr>
      <w:sz w:val="2"/>
      <w:szCs w:val="2"/>
    </w:rPr>
  </w:style>
  <w:style w:type="character" w:customStyle="1" w:styleId="Small">
    <w:name w:val="Small"/>
    <w:basedOn w:val="DefaultParagraphFont"/>
    <w:rsid w:val="008C2C9A"/>
    <w:rPr>
      <w:sz w:val="16"/>
    </w:rPr>
  </w:style>
  <w:style w:type="paragraph" w:customStyle="1" w:styleId="WideTable">
    <w:name w:val="Wide Table"/>
    <w:basedOn w:val="Normal"/>
    <w:rsid w:val="008C2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C9A"/>
  </w:style>
  <w:style w:type="paragraph" w:styleId="Quote">
    <w:name w:val="Quote"/>
    <w:basedOn w:val="Heading1"/>
    <w:link w:val="QuoteChar"/>
    <w:qFormat/>
    <w:rsid w:val="008C2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C9A"/>
    <w:pPr>
      <w:pageBreakBefore/>
    </w:pPr>
  </w:style>
  <w:style w:type="paragraph" w:customStyle="1" w:styleId="Border">
    <w:name w:val="Border"/>
    <w:basedOn w:val="Normal"/>
    <w:qFormat/>
    <w:rsid w:val="008C2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C9A"/>
    <w:rPr>
      <w:u w:val="single"/>
    </w:rPr>
  </w:style>
  <w:style w:type="character" w:customStyle="1" w:styleId="BoldandItalics">
    <w:name w:val="Bold and Italics"/>
    <w:qFormat/>
    <w:rsid w:val="008C2C9A"/>
    <w:rPr>
      <w:b/>
      <w:i/>
      <w:u w:val="none"/>
    </w:rPr>
  </w:style>
  <w:style w:type="paragraph" w:styleId="BalloonText">
    <w:name w:val="Balloon Text"/>
    <w:basedOn w:val="Normal"/>
    <w:link w:val="BalloonTextChar"/>
    <w:rsid w:val="008C2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C9A"/>
    <w:pPr>
      <w:spacing w:before="0" w:after="0"/>
    </w:pPr>
  </w:style>
  <w:style w:type="paragraph" w:customStyle="1" w:styleId="BodyTextBold">
    <w:name w:val="Body Text Bold"/>
    <w:basedOn w:val="BodyText"/>
    <w:qFormat/>
    <w:rsid w:val="008C2C9A"/>
    <w:rPr>
      <w:b/>
    </w:rPr>
  </w:style>
  <w:style w:type="character" w:styleId="Hyperlink">
    <w:name w:val="Hyperlink"/>
    <w:basedOn w:val="DefaultParagraphFont"/>
    <w:uiPriority w:val="99"/>
    <w:unhideWhenUsed/>
    <w:rsid w:val="000B1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2995</Characters>
  <Application>Microsoft Office Word</Application>
  <DocSecurity>0</DocSecurity>
  <Lines>124</Lines>
  <Paragraphs>58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TLIX0050 Apply knowledge of technical regulatory framework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