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FA5" w:rsidP="00C24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TLIX0050 Apply knowledge of technical regulatory framework</w:t>
      </w:r>
      <w:r>
        <w:fldChar w:fldCharType="end"/>
      </w:r>
    </w:p>
    <w:p w:rsidR="00C24FA5" w:rsidP="00C24FA5">
      <w:pPr>
        <w:pStyle w:val="Version"/>
        <w:sectPr w:rsidSect="00450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CA4" w:rsidP="00450CA4">
      <w:pPr>
        <w:pStyle w:val="SuperHeading"/>
      </w:pPr>
      <w:r w:rsidRPr="00450CA4">
        <w:t>TLIX0050 Apply knowledge of technical regulatory framework</w:t>
      </w:r>
    </w:p>
    <w:p w:rsidR="00000000" w:rsidRPr="00450CA4" w:rsidP="00450CA4">
      <w:pPr>
        <w:pStyle w:val="Heading1"/>
      </w:pPr>
      <w:bookmarkStart w:id="1" w:name="O_1267744"/>
      <w:bookmarkEnd w:id="1"/>
      <w:r w:rsidRPr="00450C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rPr>
                <w:rStyle w:val="SpecialBold"/>
              </w:rPr>
              <w:t xml:space="preserve">Release 1. </w:t>
            </w:r>
            <w:r w:rsidRPr="00450CA4">
              <w:t>This is the first release of this unit of competency in the TLI Transport and Logistics Training Package.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2" w:name="O_1267745"/>
      <w:bookmarkEnd w:id="2"/>
      <w:r w:rsidRPr="00450C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This unit involves the skills and knowledge required to apply knowl</w:t>
            </w:r>
            <w:r w:rsidRPr="00450CA4">
              <w:t xml:space="preserve">edge of the technical regulatory framework. </w:t>
            </w:r>
          </w:p>
          <w:p w:rsidR="00000000" w:rsidRPr="00450CA4" w:rsidP="00450CA4">
            <w:pPr>
              <w:pStyle w:val="BodyText"/>
            </w:pPr>
            <w:r w:rsidRPr="00450CA4">
              <w:t xml:space="preserve">It includes accessing and interpreting and using knowledge of the technical regulatory framework in accordance with relevant organisational policy and procedures. </w:t>
            </w:r>
          </w:p>
          <w:p w:rsidR="00000000" w:rsidRPr="00450CA4" w:rsidP="00450CA4">
            <w:pPr>
              <w:pStyle w:val="BodyText"/>
            </w:pPr>
            <w:r w:rsidRPr="00450CA4">
              <w:t>The application of this knowledge is required b</w:t>
            </w:r>
            <w:r w:rsidRPr="00450CA4">
              <w:t>y people who are not specialists of the technical regulatory framework but need the knowledge to inform their decision making. The application of technical regulatory framework knowledge is specific to a variety of component processes in materiel logistics</w:t>
            </w:r>
            <w:r w:rsidRPr="00450CA4">
              <w:t xml:space="preserve"> activities.</w:t>
            </w:r>
          </w:p>
          <w:p w:rsidR="00000000" w:rsidRPr="00450CA4" w:rsidP="00450CA4">
            <w:pPr>
              <w:pStyle w:val="BodyText"/>
            </w:pPr>
            <w:r w:rsidRPr="00450CA4">
              <w:t>This unit was developed for logistics specialists working within materiel logistics but may be applicable to individuals in broader logistics roles.</w:t>
            </w:r>
          </w:p>
          <w:p w:rsidR="00000000" w:rsidRPr="00450CA4" w:rsidP="00450CA4">
            <w:pPr>
              <w:pStyle w:val="BodyText"/>
            </w:pPr>
            <w:r w:rsidRPr="00450CA4">
              <w:t xml:space="preserve">Individuals work independently or as part of a team under direct or indirect supervision, use </w:t>
            </w:r>
            <w:r w:rsidRPr="00450CA4">
              <w:t>discretion and judgement, and take responsibility for the quality of their outputs.</w:t>
            </w:r>
          </w:p>
          <w:p w:rsidR="00000000" w:rsidRPr="00450CA4" w:rsidP="00450CA4">
            <w:pPr>
              <w:pStyle w:val="BodyText"/>
            </w:pPr>
            <w:r w:rsidRPr="00450CA4">
              <w:t>No licensing, legislative or certification requirements apply to this unit at the time of publication.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3" w:name="O_1267746"/>
      <w:bookmarkEnd w:id="3"/>
      <w:r w:rsidRPr="00450C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Not applicable.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4" w:name="O_1267747"/>
      <w:bookmarkEnd w:id="4"/>
      <w:r w:rsidRPr="00450C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X – Logistics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5" w:name="O_1267748"/>
      <w:bookmarkEnd w:id="5"/>
      <w:r w:rsidRPr="00450C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Not applicable.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6" w:name="O_1267749"/>
      <w:bookmarkEnd w:id="6"/>
      <w:r w:rsidRPr="00450C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2"/>
        <w:gridCol w:w="3227"/>
        <w:gridCol w:w="1293"/>
        <w:gridCol w:w="4255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Elements describe the essential outcomes.</w:t>
            </w:r>
          </w:p>
        </w:tc>
        <w:tc>
          <w:tcPr>
            <w:tcW w:w="5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Performance criteria describe the performance needed to demonstrate achievement of the element.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rPr>
                <w:rStyle w:val="SpecialBold"/>
              </w:rPr>
              <w:t>1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rPr>
                <w:rStyle w:val="SpecialBold"/>
              </w:rPr>
              <w:t>Access and interpret relevant technical regulatory framework information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1.1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Relevant technical regulatory framework requirements are identified and obtained and checked for compliance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>
            <w:pPr>
              <w:pStyle w:val="BodyText"/>
              <w:keepLines w:val="0"/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1.2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Technical regulatory information obtained is analysed to determine relevance and application to the organisation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>
            <w:pPr>
              <w:pStyle w:val="BodyText"/>
              <w:keepLines w:val="0"/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1.3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Outcomes of the analysis are documented and recommendations relevant to technical regulatory requirements are determined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>
            <w:pPr>
              <w:pStyle w:val="BodyText"/>
              <w:keepLines w:val="0"/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1.4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Stakeholders are identified and consulted in accordance with regulatory requirements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rPr>
                <w:rStyle w:val="SpecialBold"/>
              </w:rPr>
              <w:t>2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rPr>
                <w:rStyle w:val="SpecialBold"/>
              </w:rPr>
              <w:t>Use knowledge of technical regulatory fr</w:t>
            </w:r>
            <w:r w:rsidRPr="00450CA4">
              <w:rPr>
                <w:rStyle w:val="SpecialBold"/>
              </w:rPr>
              <w:t>amework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2.1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Technical regulatory requirements and recommendations relevant to materiel and materiel logistics are applied in accordance with organisational policy and procedures and presented to relevant stakeholders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>
            <w:pPr>
              <w:pStyle w:val="BodyText"/>
              <w:keepLines w:val="0"/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2.2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Effectiveness of recommendations is assessed, reviewed and recorded in accordance with organisational policy and procedures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>
            <w:pPr>
              <w:pStyle w:val="BodyText"/>
              <w:keepLines w:val="0"/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rPr>
                <w:rStyle w:val="SpecialBold"/>
              </w:rPr>
              <w:t>2.3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Recommendations are adjusted as required and documented for future application in accordance with organisational policy and p</w:t>
            </w:r>
            <w:r w:rsidRPr="00450CA4">
              <w:t>rocedures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7" w:name="O_1267750"/>
      <w:bookmarkEnd w:id="7"/>
      <w:r w:rsidRPr="00450C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Foundation skills essential to performance are explicit in the performance criteria of this unit of competency.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8" w:name="O_1267751"/>
      <w:bookmarkEnd w:id="8"/>
      <w:r w:rsidRPr="00450C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Range is restricted to essential operating conditions and any other variables essential to the work environment.</w:t>
            </w:r>
          </w:p>
          <w:p w:rsidR="00000000" w:rsidRPr="00450CA4" w:rsidP="00450CA4">
            <w:pPr>
              <w:pStyle w:val="BodyText"/>
            </w:pPr>
            <w:r w:rsidRPr="00450CA4">
              <w:t>Non-essential conditions can be found in the Companion Volume Implementation Guide.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9" w:name="O_1267752"/>
      <w:bookmarkEnd w:id="9"/>
      <w:r w:rsidRPr="00450C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>This unit replaces and is equivalent to TLIX4032 Apply knowledge of technical regulatory framework.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10" w:name="O_1267759"/>
      <w:bookmarkEnd w:id="10"/>
      <w:r w:rsidRPr="00450CA4">
        <w:t>Links</w:t>
      </w:r>
    </w:p>
    <w:p w:rsidR="00000000" w:rsidRPr="00450CA4" w:rsidP="00C24FA5">
      <w:pPr>
        <w:pStyle w:val="BodyText"/>
      </w:pPr>
      <w:r w:rsidRPr="00450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2F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0CA4" w:rsidP="00C24FA5">
      <w:pPr>
        <w:pStyle w:val="BodyText"/>
        <w:sectPr w:rsidSect="00450C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0CA4" w:rsidP="00450CA4">
      <w:pPr>
        <w:pStyle w:val="SuperHeading"/>
      </w:pPr>
      <w:r w:rsidRPr="00450CA4">
        <w:t>Assessment Requirements for TLIX0050 Apply knowledge of technical regulatory framework</w:t>
      </w:r>
    </w:p>
    <w:p w:rsidR="00000000" w:rsidRPr="00450CA4" w:rsidP="00450CA4">
      <w:pPr>
        <w:pStyle w:val="Heading1"/>
      </w:pPr>
      <w:bookmarkStart w:id="11" w:name="O_1267754"/>
      <w:bookmarkEnd w:id="11"/>
      <w:r w:rsidRPr="00450C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rPr>
                <w:rStyle w:val="SpecialBold"/>
              </w:rPr>
              <w:t xml:space="preserve">Release 1. </w:t>
            </w:r>
            <w:r w:rsidRPr="00450CA4">
              <w:t>This is the first release of this unit of competency in the TLI Transport and Logistics Training Package.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12" w:name="O_1267755"/>
      <w:bookmarkEnd w:id="12"/>
      <w:r w:rsidRPr="00450C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Evidence required to demonstrate competence in this unit must be relevant to and satisfy all the requirement</w:t>
            </w:r>
            <w:r w:rsidRPr="00450CA4">
              <w:t>s of the elements and performance criteria on at least one occasion and includes: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ListBullet"/>
            </w:pPr>
            <w:r w:rsidRPr="00450CA4">
              <w:t>adhering to relevant compliance requirements</w:t>
            </w:r>
          </w:p>
          <w:p w:rsidR="00000000" w:rsidRPr="00450CA4" w:rsidP="00450CA4">
            <w:pPr>
              <w:pStyle w:val="ListBullet"/>
            </w:pPr>
            <w:r w:rsidRPr="00450CA4">
              <w:t>applying technical regulatory framework knowledge to work being performed and to guide problem solving</w:t>
            </w:r>
          </w:p>
          <w:p w:rsidR="00000000" w:rsidRPr="00450CA4" w:rsidP="00450CA4">
            <w:pPr>
              <w:pStyle w:val="ListBullet"/>
            </w:pPr>
            <w:r w:rsidRPr="00450CA4">
              <w:t>focusing on clear commun</w:t>
            </w:r>
            <w:r w:rsidRPr="00450CA4">
              <w:t>ication of technical regulatory information to a range of stakeholders</w:t>
            </w:r>
          </w:p>
          <w:p w:rsidR="00000000" w:rsidRPr="00450CA4" w:rsidP="00450CA4">
            <w:pPr>
              <w:pStyle w:val="ListBullet"/>
            </w:pPr>
            <w:r w:rsidRPr="00450CA4">
              <w:t>identifying, interpreting and analysing technical regulatory requirements relevant to work being performed</w:t>
            </w:r>
          </w:p>
          <w:p w:rsidR="00000000" w:rsidRPr="00450CA4" w:rsidP="00450CA4">
            <w:pPr>
              <w:pStyle w:val="ListBullet"/>
            </w:pPr>
            <w:r w:rsidRPr="00450CA4">
              <w:t>incorporating feedback and analysis of information to overcome challenges or s</w:t>
            </w:r>
            <w:r w:rsidRPr="00450CA4">
              <w:t>etbacks</w:t>
            </w:r>
          </w:p>
          <w:p w:rsidR="00000000" w:rsidRPr="00450CA4" w:rsidP="00450CA4">
            <w:pPr>
              <w:pStyle w:val="ListBullet"/>
            </w:pPr>
            <w:r w:rsidRPr="00450CA4">
              <w:t>presenting relevant technical regulatory information accurately and selecting appropriate medium for communication</w:t>
            </w:r>
          </w:p>
          <w:p w:rsidR="00000000" w:rsidRPr="00450CA4" w:rsidP="00450CA4">
            <w:pPr>
              <w:pStyle w:val="ListBullet"/>
            </w:pPr>
            <w:r w:rsidRPr="00450CA4">
              <w:t>using appropriate information management systems.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13" w:name="O_1267756"/>
      <w:bookmarkEnd w:id="13"/>
      <w:r w:rsidRPr="00450C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A4">
            <w:pPr>
              <w:pStyle w:val="BodyText"/>
              <w:rPr>
                <w:lang w:val="en-NZ"/>
              </w:rPr>
            </w:pPr>
            <w:r w:rsidRPr="00450CA4">
              <w:t>Evidence required to demonstrate competence in this unit must be relevant to and satisfy all the requirements of the elements and performance criteria includes knowledge of:</w:t>
            </w:r>
          </w:p>
        </w:tc>
      </w:tr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ListBullet"/>
            </w:pPr>
            <w:r w:rsidRPr="00450CA4">
              <w:t>configuration management</w:t>
            </w:r>
          </w:p>
          <w:p w:rsidR="00000000" w:rsidRPr="00450CA4" w:rsidP="00450CA4">
            <w:pPr>
              <w:pStyle w:val="ListBullet"/>
            </w:pPr>
            <w:r w:rsidRPr="00450CA4">
              <w:t>materiel life cycle</w:t>
            </w:r>
          </w:p>
          <w:p w:rsidR="00000000" w:rsidRPr="00450CA4" w:rsidP="00450CA4">
            <w:pPr>
              <w:pStyle w:val="ListBullet"/>
            </w:pPr>
            <w:r w:rsidRPr="00450CA4">
              <w:t>own role in relation to wider organ</w:t>
            </w:r>
            <w:r w:rsidRPr="00450CA4">
              <w:t>isational or project context</w:t>
            </w:r>
          </w:p>
          <w:p w:rsidR="00000000" w:rsidRPr="00450CA4" w:rsidP="00450CA4">
            <w:pPr>
              <w:pStyle w:val="ListBullet"/>
            </w:pPr>
            <w:r w:rsidRPr="00450CA4">
              <w:t>relevant organisational policy and procedures</w:t>
            </w:r>
          </w:p>
          <w:p w:rsidR="00000000" w:rsidRPr="00450CA4" w:rsidP="00450CA4">
            <w:pPr>
              <w:pStyle w:val="ListBullet"/>
            </w:pPr>
            <w:r w:rsidRPr="00450CA4">
              <w:t>safety, legislative and statutory requirements, including relevant environmental and sustainability issues</w:t>
            </w:r>
          </w:p>
          <w:p w:rsidR="00000000" w:rsidRPr="00450CA4" w:rsidP="00450CA4">
            <w:pPr>
              <w:pStyle w:val="ListBullet"/>
            </w:pPr>
            <w:r w:rsidRPr="00450CA4">
              <w:t>technical regulatory framework knowledge relevant to work performed</w:t>
            </w:r>
          </w:p>
          <w:p w:rsidR="00000000" w:rsidRPr="00450CA4" w:rsidP="00450CA4">
            <w:pPr>
              <w:pStyle w:val="ListBullet"/>
            </w:pPr>
            <w:r w:rsidRPr="00450CA4">
              <w:t>technical regulatory framework relevant to materiel and materiel systems.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14" w:name="O_1267757"/>
      <w:bookmarkEnd w:id="14"/>
      <w:r w:rsidRPr="00450C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C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A4" w:rsidP="00450CA4">
            <w:pPr>
              <w:pStyle w:val="BodyText"/>
            </w:pPr>
            <w:r w:rsidRPr="00450CA4">
              <w:t xml:space="preserve">Assessors must hold credentials specified within the Standards for Registered Training Organisations current at the time of assessment. </w:t>
            </w:r>
          </w:p>
          <w:p w:rsidR="00000000" w:rsidRPr="00450CA4" w:rsidP="00450CA4">
            <w:pPr>
              <w:pStyle w:val="BodyText"/>
            </w:pPr>
            <w:r w:rsidRPr="00450CA4">
              <w:t>As</w:t>
            </w:r>
            <w:r w:rsidRPr="00450CA4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50CA4" w:rsidP="00450CA4">
            <w:pPr>
              <w:pStyle w:val="BodyText"/>
            </w:pPr>
            <w:r w:rsidRPr="00450CA4">
              <w:t>Assessment must occur in workplace operational s</w:t>
            </w:r>
            <w:r w:rsidRPr="00450CA4">
              <w:t>ituations where it is appropriate to do so; where this is not appropriate, assessment must occur in simulated workplace operational situations that replicate workplace conditions.</w:t>
            </w:r>
          </w:p>
          <w:p w:rsidR="00000000" w:rsidRPr="00450CA4" w:rsidP="00450CA4">
            <w:pPr>
              <w:pStyle w:val="BodyText"/>
            </w:pPr>
            <w:r w:rsidRPr="00450CA4">
              <w:t>Assessment processes and techniques must be appropriate to the language, lit</w:t>
            </w:r>
            <w:r w:rsidRPr="00450CA4">
              <w:t>eracy and numeracy requirements of the work being performed and the needs of the candidate.</w:t>
            </w:r>
          </w:p>
          <w:p w:rsidR="00000000" w:rsidRPr="00450CA4" w:rsidP="00450CA4">
            <w:pPr>
              <w:pStyle w:val="BodyText"/>
            </w:pPr>
            <w:r w:rsidRPr="00450CA4">
              <w:t>Resources for assessment must include access to:</w:t>
            </w:r>
          </w:p>
          <w:p w:rsidR="00000000" w:rsidRPr="00450CA4" w:rsidP="00450CA4">
            <w:pPr>
              <w:pStyle w:val="ListBullet"/>
            </w:pPr>
            <w:r w:rsidRPr="00450CA4">
              <w:t>relevant and appropriate materials, tools, equipment and personal protective equipment currently used in industry</w:t>
            </w:r>
          </w:p>
          <w:p w:rsidR="00000000" w:rsidRPr="00450CA4" w:rsidP="00450CA4">
            <w:pPr>
              <w:pStyle w:val="ListBullet"/>
            </w:pPr>
            <w:r w:rsidRPr="00450CA4">
              <w:t>applicable documentation including legislation, regulations, codes of practice, workplace procedures and operation manuals.</w:t>
            </w:r>
          </w:p>
        </w:tc>
      </w:tr>
    </w:tbl>
    <w:p w:rsidR="00000000" w:rsidRPr="00450CA4" w:rsidP="00450CA4">
      <w:pPr>
        <w:pStyle w:val="NoPaddingFontSize1"/>
      </w:pPr>
    </w:p>
    <w:p w:rsidR="00000000" w:rsidRPr="00450CA4" w:rsidP="00450CA4">
      <w:pPr>
        <w:pStyle w:val="AllowPageBreak"/>
      </w:pPr>
    </w:p>
    <w:p w:rsidR="00000000" w:rsidRPr="00450CA4" w:rsidP="00450CA4">
      <w:pPr>
        <w:pStyle w:val="Heading1"/>
      </w:pPr>
      <w:bookmarkStart w:id="15" w:name="O_1267760"/>
      <w:bookmarkEnd w:id="15"/>
      <w:r w:rsidRPr="00450CA4">
        <w:t>Links</w:t>
      </w:r>
    </w:p>
    <w:p w:rsidR="00000000" w:rsidRPr="00450CA4" w:rsidP="00C24FA5">
      <w:pPr>
        <w:pStyle w:val="BodyText"/>
      </w:pPr>
      <w:r w:rsidRPr="00450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2F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0CA4" w:rsidP="00450CA4"/>
    <w:sectPr w:rsidSect="00450C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 w:rsidRPr="00C24FA5" w:rsidP="00C24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A5" w:rsidP="00450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FA5" w:rsidP="00450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4FA5" w:rsidP="00450C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 w:rsidP="00450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FA5">
      <w:t>Approved</w:t>
    </w:r>
    <w:r w:rsidR="00C24F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F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FA5">
      <w:rPr>
        <w:noProof/>
      </w:rPr>
      <w:t>4</w:t>
    </w:r>
    <w:r>
      <w:rPr>
        <w:noProof/>
      </w:rPr>
      <w:fldChar w:fldCharType="end"/>
    </w:r>
  </w:p>
  <w:p w:rsidR="00450CA4" w:rsidP="00450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F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FA5">
      <w:t>Industry Skills Australia</w:t>
    </w:r>
    <w:r w:rsidR="00C24FA5">
      <w:fldChar w:fldCharType="end"/>
    </w:r>
  </w:p>
  <w:p w:rsidR="00450CA4" w:rsidP="00450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CA4" w:rsidRPr="00C24FA5" w:rsidP="00C24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A5" w:rsidRPr="002D2AF8" w:rsidP="00450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TLIX0050 Apply knowledge of technical regulatory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4FA5" w:rsidP="00450C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A4" w:rsidRPr="002D2AF8" w:rsidP="00450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FA5">
      <w:t>TLIX0050 Apply knowledge of technical regulatory framework</w:t>
    </w:r>
    <w:r w:rsidR="00C24F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FA5">
      <w:rPr>
        <w:noProof/>
      </w:rPr>
      <w:t>2 March 2025</w:t>
    </w:r>
    <w:r>
      <w:fldChar w:fldCharType="end"/>
    </w:r>
  </w:p>
  <w:p w:rsidR="00450CA4" w:rsidP="00450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27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E44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CA4"/>
  </w:style>
  <w:style w:type="character" w:customStyle="1" w:styleId="Heading1Char">
    <w:name w:val="Heading 1 Char"/>
    <w:basedOn w:val="DefaultParagraphFont"/>
    <w:link w:val="Heading1"/>
    <w:rsid w:val="00450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C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CA4"/>
    <w:rPr>
      <w:b/>
      <w:spacing w:val="0"/>
    </w:rPr>
  </w:style>
  <w:style w:type="paragraph" w:customStyle="1" w:styleId="SuperHeading">
    <w:name w:val="SuperHeading"/>
    <w:basedOn w:val="Normal"/>
    <w:rsid w:val="00450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0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C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CA4"/>
    <w:rPr>
      <w:i/>
    </w:rPr>
  </w:style>
  <w:style w:type="paragraph" w:styleId="Caption">
    <w:name w:val="caption"/>
    <w:basedOn w:val="BodyText"/>
    <w:next w:val="Normal"/>
    <w:qFormat/>
    <w:rsid w:val="00450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CA4"/>
  </w:style>
  <w:style w:type="paragraph" w:styleId="TableofFigures">
    <w:name w:val="table of figures"/>
    <w:basedOn w:val="Normal"/>
    <w:next w:val="Normal"/>
    <w:semiHidden/>
    <w:rsid w:val="00450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C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CA4"/>
    <w:rPr>
      <w:rFonts w:ascii="Wingdings" w:hAnsi="Wingdings"/>
    </w:rPr>
  </w:style>
  <w:style w:type="paragraph" w:customStyle="1" w:styleId="TableHeading">
    <w:name w:val="Table Heading"/>
    <w:basedOn w:val="HeadingBase"/>
    <w:rsid w:val="00450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CA4"/>
    <w:rPr>
      <w:color w:val="0033CC"/>
      <w:u w:val="none"/>
    </w:rPr>
  </w:style>
  <w:style w:type="paragraph" w:customStyle="1" w:styleId="BodyTextRight">
    <w:name w:val="Body Text Right"/>
    <w:basedOn w:val="BodyText"/>
    <w:rsid w:val="00450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C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CA4"/>
    <w:rPr>
      <w:sz w:val="32"/>
    </w:rPr>
  </w:style>
  <w:style w:type="paragraph" w:customStyle="1" w:styleId="HeadingProcedure">
    <w:name w:val="Heading Procedure"/>
    <w:basedOn w:val="HeadingBase"/>
    <w:next w:val="Normal"/>
    <w:rsid w:val="00450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CA4"/>
    <w:pPr>
      <w:spacing w:before="60" w:after="60"/>
    </w:pPr>
  </w:style>
  <w:style w:type="paragraph" w:styleId="ListContinue">
    <w:name w:val="List Continue"/>
    <w:basedOn w:val="List"/>
    <w:rsid w:val="00450CA4"/>
    <w:pPr>
      <w:ind w:firstLine="0"/>
    </w:pPr>
  </w:style>
  <w:style w:type="paragraph" w:customStyle="1" w:styleId="ListNote">
    <w:name w:val="List Note"/>
    <w:basedOn w:val="List"/>
    <w:rsid w:val="00450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CA4"/>
    <w:rPr>
      <w:rFonts w:ascii="Courier New" w:hAnsi="Courier New"/>
    </w:rPr>
  </w:style>
  <w:style w:type="paragraph" w:customStyle="1" w:styleId="NoteBullet">
    <w:name w:val="Note Bullet"/>
    <w:basedOn w:val="Note"/>
    <w:rsid w:val="00450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C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CA4"/>
    <w:rPr>
      <w:b/>
      <w:smallCaps/>
    </w:rPr>
  </w:style>
  <w:style w:type="paragraph" w:customStyle="1" w:styleId="TableListNumber">
    <w:name w:val="Table List Number"/>
    <w:basedOn w:val="ListNumber"/>
    <w:rsid w:val="00450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CA4"/>
    <w:pPr>
      <w:numPr>
        <w:numId w:val="8"/>
      </w:numPr>
    </w:pPr>
  </w:style>
  <w:style w:type="paragraph" w:customStyle="1" w:styleId="ListAlpha2">
    <w:name w:val="List Alpha 2"/>
    <w:basedOn w:val="List2"/>
    <w:rsid w:val="00450CA4"/>
    <w:pPr>
      <w:numPr>
        <w:numId w:val="7"/>
      </w:numPr>
    </w:pPr>
  </w:style>
  <w:style w:type="paragraph" w:styleId="List2">
    <w:name w:val="List 2"/>
    <w:basedOn w:val="BodyText"/>
    <w:rsid w:val="00450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C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C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CA4"/>
    <w:pPr>
      <w:numPr>
        <w:numId w:val="3"/>
      </w:numPr>
    </w:pPr>
  </w:style>
  <w:style w:type="paragraph" w:styleId="ListContinue2">
    <w:name w:val="List Continue 2"/>
    <w:basedOn w:val="List2"/>
    <w:rsid w:val="00450CA4"/>
    <w:pPr>
      <w:ind w:firstLine="0"/>
    </w:pPr>
  </w:style>
  <w:style w:type="paragraph" w:styleId="ListContinue3">
    <w:name w:val="List Continue 3"/>
    <w:basedOn w:val="List3"/>
    <w:rsid w:val="00450CA4"/>
    <w:pPr>
      <w:ind w:left="1021" w:firstLine="0"/>
    </w:pPr>
  </w:style>
  <w:style w:type="paragraph" w:styleId="ListContinue4">
    <w:name w:val="List Continue 4"/>
    <w:basedOn w:val="List4"/>
    <w:rsid w:val="00450CA4"/>
    <w:pPr>
      <w:ind w:firstLine="0"/>
    </w:pPr>
  </w:style>
  <w:style w:type="paragraph" w:styleId="ListContinue5">
    <w:name w:val="List Continue 5"/>
    <w:basedOn w:val="List5"/>
    <w:rsid w:val="00450CA4"/>
    <w:pPr>
      <w:ind w:firstLine="0"/>
    </w:pPr>
  </w:style>
  <w:style w:type="paragraph" w:styleId="ListNumber3">
    <w:name w:val="List Number 3"/>
    <w:basedOn w:val="List3"/>
    <w:rsid w:val="00450CA4"/>
    <w:pPr>
      <w:numPr>
        <w:numId w:val="4"/>
      </w:numPr>
    </w:pPr>
  </w:style>
  <w:style w:type="paragraph" w:styleId="ListNumber4">
    <w:name w:val="List Number 4"/>
    <w:basedOn w:val="List4"/>
    <w:rsid w:val="00450CA4"/>
    <w:pPr>
      <w:numPr>
        <w:numId w:val="5"/>
      </w:numPr>
    </w:pPr>
  </w:style>
  <w:style w:type="paragraph" w:styleId="ListNumber5">
    <w:name w:val="List Number 5"/>
    <w:basedOn w:val="List5"/>
    <w:rsid w:val="00450CA4"/>
    <w:pPr>
      <w:numPr>
        <w:numId w:val="6"/>
      </w:numPr>
    </w:pPr>
  </w:style>
  <w:style w:type="paragraph" w:styleId="BlockText">
    <w:name w:val="Block Text"/>
    <w:basedOn w:val="Normal"/>
    <w:rsid w:val="00450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CA4"/>
    <w:rPr>
      <w:sz w:val="16"/>
      <w:vertAlign w:val="superscript"/>
    </w:rPr>
  </w:style>
  <w:style w:type="character" w:customStyle="1" w:styleId="Symbols">
    <w:name w:val="Symbols"/>
    <w:basedOn w:val="DefaultParagraphFont"/>
    <w:rsid w:val="00450CA4"/>
    <w:rPr>
      <w:rFonts w:ascii="Symbol" w:hAnsi="Symbol"/>
    </w:rPr>
  </w:style>
  <w:style w:type="character" w:customStyle="1" w:styleId="MenuOptions">
    <w:name w:val="Menu Options"/>
    <w:basedOn w:val="DefaultParagraphFont"/>
    <w:rsid w:val="00450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CA4"/>
    <w:rPr>
      <w:b/>
    </w:rPr>
  </w:style>
  <w:style w:type="character" w:customStyle="1" w:styleId="Underlined">
    <w:name w:val="Underlined"/>
    <w:basedOn w:val="DefaultParagraphFont"/>
    <w:rsid w:val="00450CA4"/>
    <w:rPr>
      <w:u w:val="single"/>
    </w:rPr>
  </w:style>
  <w:style w:type="paragraph" w:customStyle="1" w:styleId="TableBodyTextRight">
    <w:name w:val="Table Body Text Right"/>
    <w:basedOn w:val="TableBodyText"/>
    <w:rsid w:val="00450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CA4"/>
    <w:rPr>
      <w:sz w:val="18"/>
    </w:rPr>
  </w:style>
  <w:style w:type="paragraph" w:customStyle="1" w:styleId="BodySmallRight">
    <w:name w:val="Body Small Right"/>
    <w:basedOn w:val="BodyTextRight"/>
    <w:rsid w:val="00450CA4"/>
    <w:rPr>
      <w:sz w:val="18"/>
      <w:szCs w:val="18"/>
    </w:rPr>
  </w:style>
  <w:style w:type="paragraph" w:customStyle="1" w:styleId="MarginEdition">
    <w:name w:val="Margin Edition"/>
    <w:basedOn w:val="MarginNote"/>
    <w:rsid w:val="00450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CA4"/>
    <w:rPr>
      <w:sz w:val="2"/>
      <w:szCs w:val="2"/>
    </w:rPr>
  </w:style>
  <w:style w:type="character" w:customStyle="1" w:styleId="Small">
    <w:name w:val="Small"/>
    <w:basedOn w:val="DefaultParagraphFont"/>
    <w:rsid w:val="00450CA4"/>
    <w:rPr>
      <w:sz w:val="16"/>
    </w:rPr>
  </w:style>
  <w:style w:type="paragraph" w:customStyle="1" w:styleId="WideTable">
    <w:name w:val="Wide Table"/>
    <w:basedOn w:val="Normal"/>
    <w:rsid w:val="00450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CA4"/>
  </w:style>
  <w:style w:type="paragraph" w:styleId="Quote">
    <w:name w:val="Quote"/>
    <w:basedOn w:val="Heading1"/>
    <w:link w:val="QuoteChar"/>
    <w:qFormat/>
    <w:rsid w:val="00450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CA4"/>
    <w:pPr>
      <w:pageBreakBefore/>
    </w:pPr>
  </w:style>
  <w:style w:type="paragraph" w:customStyle="1" w:styleId="Border">
    <w:name w:val="Border"/>
    <w:basedOn w:val="Normal"/>
    <w:qFormat/>
    <w:rsid w:val="00450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CA4"/>
    <w:rPr>
      <w:u w:val="single"/>
    </w:rPr>
  </w:style>
  <w:style w:type="character" w:customStyle="1" w:styleId="BoldandItalics">
    <w:name w:val="Bold and Italics"/>
    <w:qFormat/>
    <w:rsid w:val="00450CA4"/>
    <w:rPr>
      <w:b/>
      <w:i/>
      <w:u w:val="none"/>
    </w:rPr>
  </w:style>
  <w:style w:type="paragraph" w:styleId="BalloonText">
    <w:name w:val="Balloon Text"/>
    <w:basedOn w:val="Normal"/>
    <w:link w:val="BalloonTextChar"/>
    <w:rsid w:val="00450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CA4"/>
    <w:pPr>
      <w:spacing w:before="0" w:after="0"/>
    </w:pPr>
  </w:style>
  <w:style w:type="paragraph" w:customStyle="1" w:styleId="BodyTextBold">
    <w:name w:val="Body Text Bold"/>
    <w:basedOn w:val="BodyText"/>
    <w:qFormat/>
    <w:rsid w:val="00450CA4"/>
    <w:rPr>
      <w:b/>
    </w:rPr>
  </w:style>
  <w:style w:type="character" w:styleId="Hyperlink">
    <w:name w:val="Hyperlink"/>
    <w:basedOn w:val="DefaultParagraphFont"/>
    <w:uiPriority w:val="99"/>
    <w:unhideWhenUsed/>
    <w:rsid w:val="00C24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5575</Characters>
  <Application>Microsoft Office Word</Application>
  <DocSecurity>0</DocSecurity>
  <Lines>185</Lines>
  <Paragraphs>94</Paragraphs>
  <ScaleCrop>false</ScaleCrop>
  <Company>Author-it Software Corporation Ltd.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TLIX0050 Apply knowledge of technical regulatory framework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