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39A" w:rsidP="009E4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TLIX0050 Apply knowledge of technical regulatory framework</w:t>
      </w:r>
      <w:r>
        <w:fldChar w:fldCharType="end"/>
      </w:r>
    </w:p>
    <w:p w:rsidR="009E439A" w:rsidP="009E439A">
      <w:pPr>
        <w:pStyle w:val="Version"/>
        <w:sectPr w:rsidSect="00787F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F87" w:rsidP="00787F87">
      <w:pPr>
        <w:pStyle w:val="SuperHeading"/>
      </w:pPr>
      <w:r w:rsidRPr="00787F87">
        <w:t>Assessment Requirements for TLIX0050 Apply knowledge of technical regulatory framework</w:t>
      </w:r>
    </w:p>
    <w:p w:rsidR="00000000" w:rsidRPr="00787F87" w:rsidP="00787F87">
      <w:pPr>
        <w:pStyle w:val="Heading1"/>
      </w:pPr>
      <w:bookmarkStart w:id="1" w:name="O_1267754"/>
      <w:bookmarkEnd w:id="1"/>
      <w:r w:rsidRPr="00787F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87" w:rsidP="00787F87">
            <w:pPr>
              <w:pStyle w:val="BodyText"/>
            </w:pPr>
            <w:r w:rsidRPr="00787F87">
              <w:rPr>
                <w:rStyle w:val="SpecialBold"/>
              </w:rPr>
              <w:t xml:space="preserve">Release 1. </w:t>
            </w:r>
            <w:r w:rsidRPr="00787F87">
              <w:t>This is the first release of this unit of competency in the TLI Transport and Logistics Training Package.</w:t>
            </w:r>
          </w:p>
        </w:tc>
      </w:tr>
    </w:tbl>
    <w:p w:rsidR="00000000" w:rsidRPr="00787F87" w:rsidP="00787F87">
      <w:pPr>
        <w:pStyle w:val="NoPaddingFontSize1"/>
      </w:pPr>
    </w:p>
    <w:p w:rsidR="00000000" w:rsidRPr="00787F87" w:rsidP="00787F87">
      <w:pPr>
        <w:pStyle w:val="AllowPageBreak"/>
      </w:pPr>
    </w:p>
    <w:p w:rsidR="00000000" w:rsidRPr="00787F87" w:rsidP="00787F87">
      <w:pPr>
        <w:pStyle w:val="Heading1"/>
      </w:pPr>
      <w:bookmarkStart w:id="2" w:name="O_1267755"/>
      <w:bookmarkEnd w:id="2"/>
      <w:r w:rsidRPr="00787F8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87">
            <w:pPr>
              <w:pStyle w:val="BodyText"/>
              <w:rPr>
                <w:lang w:val="en-NZ"/>
              </w:rPr>
            </w:pPr>
            <w:r w:rsidRPr="00787F8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787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87" w:rsidP="00787F87">
            <w:pPr>
              <w:pStyle w:val="ListBullet"/>
            </w:pPr>
            <w:r w:rsidRPr="00787F87">
              <w:t>adhering to relevant compliance re</w:t>
            </w:r>
            <w:r w:rsidRPr="00787F87">
              <w:t>quirements</w:t>
            </w:r>
          </w:p>
          <w:p w:rsidR="00000000" w:rsidRPr="00787F87" w:rsidP="00787F87">
            <w:pPr>
              <w:pStyle w:val="ListBullet"/>
            </w:pPr>
            <w:r w:rsidRPr="00787F87">
              <w:t>applying technical regulatory framework knowledge to work being performed and to guide problem solving</w:t>
            </w:r>
          </w:p>
          <w:p w:rsidR="00000000" w:rsidRPr="00787F87" w:rsidP="00787F87">
            <w:pPr>
              <w:pStyle w:val="ListBullet"/>
            </w:pPr>
            <w:r w:rsidRPr="00787F87">
              <w:t>focusing on clear communication of technical regulatory information to a range of stakeholders</w:t>
            </w:r>
          </w:p>
          <w:p w:rsidR="00000000" w:rsidRPr="00787F87" w:rsidP="00787F87">
            <w:pPr>
              <w:pStyle w:val="ListBullet"/>
            </w:pPr>
            <w:r w:rsidRPr="00787F87">
              <w:t>identifying, interpreting and analysing technic</w:t>
            </w:r>
            <w:r w:rsidRPr="00787F87">
              <w:t>al regulatory requirements relevant to work being performed</w:t>
            </w:r>
          </w:p>
          <w:p w:rsidR="00000000" w:rsidRPr="00787F87" w:rsidP="00787F87">
            <w:pPr>
              <w:pStyle w:val="ListBullet"/>
            </w:pPr>
            <w:r w:rsidRPr="00787F87">
              <w:t>incorporating feedback and analysis of information to overcome challenges or setbacks</w:t>
            </w:r>
          </w:p>
          <w:p w:rsidR="00000000" w:rsidRPr="00787F87" w:rsidP="00787F87">
            <w:pPr>
              <w:pStyle w:val="ListBullet"/>
            </w:pPr>
            <w:r w:rsidRPr="00787F87">
              <w:t>presenting relevant technical regulatory information accurately and selecting appropriate medium for communica</w:t>
            </w:r>
            <w:r w:rsidRPr="00787F87">
              <w:t>tion</w:t>
            </w:r>
          </w:p>
          <w:p w:rsidR="00000000" w:rsidRPr="00787F87" w:rsidP="00787F87">
            <w:pPr>
              <w:pStyle w:val="ListBullet"/>
            </w:pPr>
            <w:r w:rsidRPr="00787F87">
              <w:t>using appropriate information management systems.</w:t>
            </w:r>
          </w:p>
        </w:tc>
      </w:tr>
    </w:tbl>
    <w:p w:rsidR="00000000" w:rsidRPr="00787F87" w:rsidP="00787F87">
      <w:pPr>
        <w:pStyle w:val="NoPaddingFontSize1"/>
      </w:pPr>
    </w:p>
    <w:p w:rsidR="00000000" w:rsidRPr="00787F87" w:rsidP="00787F87">
      <w:pPr>
        <w:pStyle w:val="AllowPageBreak"/>
      </w:pPr>
    </w:p>
    <w:p w:rsidR="00000000" w:rsidRPr="00787F87" w:rsidP="00787F87">
      <w:pPr>
        <w:pStyle w:val="Heading1"/>
      </w:pPr>
      <w:bookmarkStart w:id="3" w:name="O_1267756"/>
      <w:bookmarkEnd w:id="3"/>
      <w:r w:rsidRPr="00787F8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87">
            <w:pPr>
              <w:pStyle w:val="BodyText"/>
              <w:rPr>
                <w:lang w:val="en-NZ"/>
              </w:rPr>
            </w:pPr>
            <w:r w:rsidRPr="00787F87">
              <w:t xml:space="preserve">Evidence required to demonstrate competence in this unit must be relevant to and satisfy all the requirements of the elements and performance criteria </w:t>
            </w:r>
            <w:r w:rsidRPr="00787F87">
              <w:t>includes knowledge of:</w:t>
            </w:r>
          </w:p>
        </w:tc>
      </w:tr>
      <w:tr w:rsidTr="00787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87" w:rsidP="00787F87">
            <w:pPr>
              <w:pStyle w:val="ListBullet"/>
            </w:pPr>
            <w:r w:rsidRPr="00787F87">
              <w:t>configuration management</w:t>
            </w:r>
          </w:p>
          <w:p w:rsidR="00000000" w:rsidRPr="00787F87" w:rsidP="00787F87">
            <w:pPr>
              <w:pStyle w:val="ListBullet"/>
            </w:pPr>
            <w:r w:rsidRPr="00787F87">
              <w:t>materiel life cycle</w:t>
            </w:r>
          </w:p>
          <w:p w:rsidR="00000000" w:rsidRPr="00787F87" w:rsidP="00787F87">
            <w:pPr>
              <w:pStyle w:val="ListBullet"/>
            </w:pPr>
            <w:r w:rsidRPr="00787F87">
              <w:t>own role in relation to wider organisational or project context</w:t>
            </w:r>
          </w:p>
          <w:p w:rsidR="00000000" w:rsidRPr="00787F87" w:rsidP="00787F87">
            <w:pPr>
              <w:pStyle w:val="ListBullet"/>
            </w:pPr>
            <w:r w:rsidRPr="00787F87">
              <w:t>relevant organisational policy and procedures</w:t>
            </w:r>
          </w:p>
          <w:p w:rsidR="00000000" w:rsidRPr="00787F87" w:rsidP="00787F87">
            <w:pPr>
              <w:pStyle w:val="ListBullet"/>
            </w:pPr>
            <w:r w:rsidRPr="00787F87">
              <w:t>safety, legislative and statutory requirements, including relevant environme</w:t>
            </w:r>
            <w:r w:rsidRPr="00787F87">
              <w:t>ntal and sustainability issues</w:t>
            </w:r>
          </w:p>
          <w:p w:rsidR="00000000" w:rsidRPr="00787F87" w:rsidP="00787F87">
            <w:pPr>
              <w:pStyle w:val="ListBullet"/>
            </w:pPr>
            <w:r w:rsidRPr="00787F87">
              <w:t>technical regulatory framework knowledge relevant to work performed</w:t>
            </w:r>
          </w:p>
          <w:p w:rsidR="00000000" w:rsidRPr="00787F87" w:rsidP="00787F87">
            <w:pPr>
              <w:pStyle w:val="ListBullet"/>
            </w:pPr>
            <w:r w:rsidRPr="00787F87">
              <w:t>technical regulatory framework relevant to materiel and materiel systems.</w:t>
            </w:r>
          </w:p>
        </w:tc>
      </w:tr>
    </w:tbl>
    <w:p w:rsidR="00000000" w:rsidRPr="00787F87" w:rsidP="00787F87">
      <w:pPr>
        <w:pStyle w:val="NoPaddingFontSize1"/>
      </w:pPr>
    </w:p>
    <w:p w:rsidR="00000000" w:rsidRPr="00787F87" w:rsidP="00787F87">
      <w:pPr>
        <w:pStyle w:val="AllowPageBreak"/>
      </w:pPr>
    </w:p>
    <w:p w:rsidR="00000000" w:rsidRPr="00787F87" w:rsidP="00787F87">
      <w:pPr>
        <w:pStyle w:val="Heading1"/>
      </w:pPr>
      <w:bookmarkStart w:id="4" w:name="O_1267757"/>
      <w:bookmarkEnd w:id="4"/>
      <w:r w:rsidRPr="00787F8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87" w:rsidP="00787F87">
            <w:pPr>
              <w:pStyle w:val="BodyText"/>
            </w:pPr>
            <w:r w:rsidRPr="00787F87">
              <w:t xml:space="preserve">Assessors must hold credentials specified within the Standards for Registered Training Organisations current at the time of assessment. </w:t>
            </w:r>
          </w:p>
          <w:p w:rsidR="00000000" w:rsidRPr="00787F87" w:rsidP="00787F87">
            <w:pPr>
              <w:pStyle w:val="BodyText"/>
            </w:pPr>
            <w:r w:rsidRPr="00787F87">
              <w:t>Assessment must satisfy the Principles of Assessment and Rules of Evidence and all regulatory requirements included wit</w:t>
            </w:r>
            <w:r w:rsidRPr="00787F87">
              <w:t>hin the Standards for Registered Training Organisations current at the time of assessment.</w:t>
            </w:r>
          </w:p>
          <w:p w:rsidR="00000000" w:rsidRPr="00787F87" w:rsidP="00787F87">
            <w:pPr>
              <w:pStyle w:val="BodyText"/>
            </w:pPr>
            <w:r w:rsidRPr="00787F87">
              <w:t>Assessment must occur in workplace operational situations where it is appropriate to do so; where this is not appropriate, assessment must occur in simulated workpla</w:t>
            </w:r>
            <w:r w:rsidRPr="00787F87">
              <w:t>ce operational situations that replicate workplace conditions.</w:t>
            </w:r>
          </w:p>
          <w:p w:rsidR="00000000" w:rsidRPr="00787F87" w:rsidP="00787F87">
            <w:pPr>
              <w:pStyle w:val="BodyText"/>
            </w:pPr>
            <w:r w:rsidRPr="00787F8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87F87" w:rsidP="00787F87">
            <w:pPr>
              <w:pStyle w:val="BodyText"/>
            </w:pPr>
            <w:r w:rsidRPr="00787F87">
              <w:t xml:space="preserve">Resources for assessment </w:t>
            </w:r>
            <w:r w:rsidRPr="00787F87">
              <w:t>must include access to:</w:t>
            </w:r>
          </w:p>
          <w:p w:rsidR="00000000" w:rsidRPr="00787F87" w:rsidP="00787F87">
            <w:pPr>
              <w:pStyle w:val="ListBullet"/>
            </w:pPr>
            <w:r w:rsidRPr="00787F87">
              <w:t>relevant and appropriate materials, tools, equipment and personal protective equipment currently used in industry</w:t>
            </w:r>
          </w:p>
          <w:p w:rsidR="00000000" w:rsidRPr="00787F87" w:rsidP="00787F87">
            <w:pPr>
              <w:pStyle w:val="ListBullet"/>
            </w:pPr>
            <w:r w:rsidRPr="00787F87">
              <w:t>applicable documentation including legislation, regulations, codes of practice, workplace procedures and operation ma</w:t>
            </w:r>
            <w:r w:rsidRPr="00787F87">
              <w:t>nuals.</w:t>
            </w:r>
          </w:p>
        </w:tc>
      </w:tr>
    </w:tbl>
    <w:p w:rsidR="00000000" w:rsidRPr="00787F87" w:rsidP="00787F87">
      <w:pPr>
        <w:pStyle w:val="NoPaddingFontSize1"/>
      </w:pPr>
    </w:p>
    <w:p w:rsidR="00000000" w:rsidRPr="00787F87" w:rsidP="00787F87">
      <w:pPr>
        <w:pStyle w:val="AllowPageBreak"/>
      </w:pPr>
    </w:p>
    <w:p w:rsidR="00000000" w:rsidRPr="00787F87" w:rsidP="00787F87">
      <w:pPr>
        <w:pStyle w:val="Heading1"/>
      </w:pPr>
      <w:bookmarkStart w:id="5" w:name="O_1267760"/>
      <w:bookmarkEnd w:id="5"/>
      <w:r w:rsidRPr="00787F87">
        <w:t>Links</w:t>
      </w:r>
    </w:p>
    <w:p w:rsidR="00000000" w:rsidRPr="00787F87" w:rsidP="009E439A">
      <w:pPr>
        <w:pStyle w:val="BodyText"/>
      </w:pPr>
      <w:r w:rsidRPr="00787F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7772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87F87" w:rsidP="00787F87"/>
    <w:sectPr w:rsidSect="00787F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87" w:rsidRPr="009E439A" w:rsidP="009E4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9A" w:rsidP="00787F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439A" w:rsidP="00787F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E439A" w:rsidP="00787F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F87" w:rsidRPr="009E439A" w:rsidP="009E4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9A" w:rsidRPr="002D2AF8" w:rsidP="00787F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TLIX0050 Apply knowledge of technical regulatory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E439A" w:rsidP="00787F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F6E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BE02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F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F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F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F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F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F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F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F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F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F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F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F87"/>
  </w:style>
  <w:style w:type="character" w:customStyle="1" w:styleId="Heading1Char">
    <w:name w:val="Heading 1 Char"/>
    <w:basedOn w:val="DefaultParagraphFont"/>
    <w:link w:val="Heading1"/>
    <w:rsid w:val="00787F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F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F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7F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7F87"/>
    <w:rPr>
      <w:b/>
      <w:spacing w:val="0"/>
    </w:rPr>
  </w:style>
  <w:style w:type="paragraph" w:customStyle="1" w:styleId="SuperHeading">
    <w:name w:val="SuperHeading"/>
    <w:basedOn w:val="Normal"/>
    <w:rsid w:val="00787F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F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7F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F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F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F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F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F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F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F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F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F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F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F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F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F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F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7F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F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F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F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7F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7F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F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F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F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F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F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F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F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F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7F87"/>
    <w:rPr>
      <w:i/>
    </w:rPr>
  </w:style>
  <w:style w:type="paragraph" w:styleId="Caption">
    <w:name w:val="caption"/>
    <w:basedOn w:val="BodyText"/>
    <w:next w:val="Normal"/>
    <w:qFormat/>
    <w:rsid w:val="00787F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F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F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F87"/>
  </w:style>
  <w:style w:type="paragraph" w:styleId="TableofFigures">
    <w:name w:val="table of figures"/>
    <w:basedOn w:val="Normal"/>
    <w:next w:val="Normal"/>
    <w:semiHidden/>
    <w:rsid w:val="00787F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F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7F87"/>
    <w:rPr>
      <w:rFonts w:ascii="Wingdings" w:hAnsi="Wingdings"/>
    </w:rPr>
  </w:style>
  <w:style w:type="paragraph" w:customStyle="1" w:styleId="TableHeading">
    <w:name w:val="Table Heading"/>
    <w:basedOn w:val="HeadingBase"/>
    <w:rsid w:val="00787F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F87"/>
    <w:rPr>
      <w:color w:val="0033CC"/>
      <w:u w:val="none"/>
    </w:rPr>
  </w:style>
  <w:style w:type="paragraph" w:customStyle="1" w:styleId="BodyTextRight">
    <w:name w:val="Body Text Right"/>
    <w:basedOn w:val="BodyText"/>
    <w:rsid w:val="00787F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F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F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F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F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F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F87"/>
    <w:rPr>
      <w:sz w:val="32"/>
    </w:rPr>
  </w:style>
  <w:style w:type="paragraph" w:customStyle="1" w:styleId="HeadingProcedure">
    <w:name w:val="Heading Procedure"/>
    <w:basedOn w:val="HeadingBase"/>
    <w:next w:val="Normal"/>
    <w:rsid w:val="00787F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F87"/>
    <w:pPr>
      <w:spacing w:before="60" w:after="60"/>
    </w:pPr>
  </w:style>
  <w:style w:type="paragraph" w:styleId="ListContinue">
    <w:name w:val="List Continue"/>
    <w:basedOn w:val="List"/>
    <w:rsid w:val="00787F87"/>
    <w:pPr>
      <w:ind w:firstLine="0"/>
    </w:pPr>
  </w:style>
  <w:style w:type="paragraph" w:customStyle="1" w:styleId="ListNote">
    <w:name w:val="List Note"/>
    <w:basedOn w:val="List"/>
    <w:rsid w:val="00787F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F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F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F87"/>
    <w:rPr>
      <w:rFonts w:ascii="Courier New" w:hAnsi="Courier New"/>
    </w:rPr>
  </w:style>
  <w:style w:type="paragraph" w:customStyle="1" w:styleId="NoteBullet">
    <w:name w:val="Note Bullet"/>
    <w:basedOn w:val="Note"/>
    <w:rsid w:val="00787F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F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F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F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F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7F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F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F87"/>
    <w:rPr>
      <w:b/>
      <w:smallCaps/>
    </w:rPr>
  </w:style>
  <w:style w:type="paragraph" w:customStyle="1" w:styleId="TableListNumber">
    <w:name w:val="Table List Number"/>
    <w:basedOn w:val="ListNumber"/>
    <w:rsid w:val="00787F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F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F87"/>
    <w:pPr>
      <w:numPr>
        <w:numId w:val="8"/>
      </w:numPr>
    </w:pPr>
  </w:style>
  <w:style w:type="paragraph" w:customStyle="1" w:styleId="ListAlpha2">
    <w:name w:val="List Alpha 2"/>
    <w:basedOn w:val="List2"/>
    <w:rsid w:val="00787F87"/>
    <w:pPr>
      <w:numPr>
        <w:numId w:val="7"/>
      </w:numPr>
    </w:pPr>
  </w:style>
  <w:style w:type="paragraph" w:styleId="List2">
    <w:name w:val="List 2"/>
    <w:basedOn w:val="BodyText"/>
    <w:rsid w:val="00787F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F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F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F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F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F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7F87"/>
    <w:pPr>
      <w:numPr>
        <w:numId w:val="3"/>
      </w:numPr>
    </w:pPr>
  </w:style>
  <w:style w:type="paragraph" w:styleId="ListContinue2">
    <w:name w:val="List Continue 2"/>
    <w:basedOn w:val="List2"/>
    <w:rsid w:val="00787F87"/>
    <w:pPr>
      <w:ind w:firstLine="0"/>
    </w:pPr>
  </w:style>
  <w:style w:type="paragraph" w:styleId="ListContinue3">
    <w:name w:val="List Continue 3"/>
    <w:basedOn w:val="List3"/>
    <w:rsid w:val="00787F87"/>
    <w:pPr>
      <w:ind w:left="1021" w:firstLine="0"/>
    </w:pPr>
  </w:style>
  <w:style w:type="paragraph" w:styleId="ListContinue4">
    <w:name w:val="List Continue 4"/>
    <w:basedOn w:val="List4"/>
    <w:rsid w:val="00787F87"/>
    <w:pPr>
      <w:ind w:firstLine="0"/>
    </w:pPr>
  </w:style>
  <w:style w:type="paragraph" w:styleId="ListContinue5">
    <w:name w:val="List Continue 5"/>
    <w:basedOn w:val="List5"/>
    <w:rsid w:val="00787F87"/>
    <w:pPr>
      <w:ind w:firstLine="0"/>
    </w:pPr>
  </w:style>
  <w:style w:type="paragraph" w:styleId="ListNumber3">
    <w:name w:val="List Number 3"/>
    <w:basedOn w:val="List3"/>
    <w:rsid w:val="00787F87"/>
    <w:pPr>
      <w:numPr>
        <w:numId w:val="4"/>
      </w:numPr>
    </w:pPr>
  </w:style>
  <w:style w:type="paragraph" w:styleId="ListNumber4">
    <w:name w:val="List Number 4"/>
    <w:basedOn w:val="List4"/>
    <w:rsid w:val="00787F87"/>
    <w:pPr>
      <w:numPr>
        <w:numId w:val="5"/>
      </w:numPr>
    </w:pPr>
  </w:style>
  <w:style w:type="paragraph" w:styleId="ListNumber5">
    <w:name w:val="List Number 5"/>
    <w:basedOn w:val="List5"/>
    <w:rsid w:val="00787F87"/>
    <w:pPr>
      <w:numPr>
        <w:numId w:val="6"/>
      </w:numPr>
    </w:pPr>
  </w:style>
  <w:style w:type="paragraph" w:styleId="BlockText">
    <w:name w:val="Block Text"/>
    <w:basedOn w:val="Normal"/>
    <w:rsid w:val="00787F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F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F87"/>
    <w:rPr>
      <w:sz w:val="16"/>
      <w:vertAlign w:val="superscript"/>
    </w:rPr>
  </w:style>
  <w:style w:type="character" w:customStyle="1" w:styleId="Symbols">
    <w:name w:val="Symbols"/>
    <w:basedOn w:val="DefaultParagraphFont"/>
    <w:rsid w:val="00787F87"/>
    <w:rPr>
      <w:rFonts w:ascii="Symbol" w:hAnsi="Symbol"/>
    </w:rPr>
  </w:style>
  <w:style w:type="character" w:customStyle="1" w:styleId="MenuOptions">
    <w:name w:val="Menu Options"/>
    <w:basedOn w:val="DefaultParagraphFont"/>
    <w:rsid w:val="00787F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F87"/>
    <w:rPr>
      <w:b/>
    </w:rPr>
  </w:style>
  <w:style w:type="character" w:customStyle="1" w:styleId="Underlined">
    <w:name w:val="Underlined"/>
    <w:basedOn w:val="DefaultParagraphFont"/>
    <w:rsid w:val="00787F87"/>
    <w:rPr>
      <w:u w:val="single"/>
    </w:rPr>
  </w:style>
  <w:style w:type="paragraph" w:customStyle="1" w:styleId="TableBodyTextRight">
    <w:name w:val="Table Body Text Right"/>
    <w:basedOn w:val="TableBodyText"/>
    <w:rsid w:val="00787F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F87"/>
    <w:rPr>
      <w:sz w:val="18"/>
    </w:rPr>
  </w:style>
  <w:style w:type="paragraph" w:customStyle="1" w:styleId="BodySmallRight">
    <w:name w:val="Body Small Right"/>
    <w:basedOn w:val="BodyTextRight"/>
    <w:rsid w:val="00787F87"/>
    <w:rPr>
      <w:sz w:val="18"/>
      <w:szCs w:val="18"/>
    </w:rPr>
  </w:style>
  <w:style w:type="paragraph" w:customStyle="1" w:styleId="MarginEdition">
    <w:name w:val="Margin Edition"/>
    <w:basedOn w:val="MarginNote"/>
    <w:rsid w:val="00787F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F87"/>
    <w:rPr>
      <w:sz w:val="2"/>
      <w:szCs w:val="2"/>
    </w:rPr>
  </w:style>
  <w:style w:type="character" w:customStyle="1" w:styleId="Small">
    <w:name w:val="Small"/>
    <w:basedOn w:val="DefaultParagraphFont"/>
    <w:rsid w:val="00787F87"/>
    <w:rPr>
      <w:sz w:val="16"/>
    </w:rPr>
  </w:style>
  <w:style w:type="paragraph" w:customStyle="1" w:styleId="WideTable">
    <w:name w:val="Wide Table"/>
    <w:basedOn w:val="Normal"/>
    <w:rsid w:val="00787F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F87"/>
  </w:style>
  <w:style w:type="paragraph" w:styleId="Quote">
    <w:name w:val="Quote"/>
    <w:basedOn w:val="Heading1"/>
    <w:link w:val="QuoteChar"/>
    <w:qFormat/>
    <w:rsid w:val="00787F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F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F87"/>
    <w:pPr>
      <w:pageBreakBefore/>
    </w:pPr>
  </w:style>
  <w:style w:type="paragraph" w:customStyle="1" w:styleId="Border">
    <w:name w:val="Border"/>
    <w:basedOn w:val="Normal"/>
    <w:qFormat/>
    <w:rsid w:val="00787F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F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F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F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F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F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F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F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F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F87"/>
    <w:rPr>
      <w:u w:val="single"/>
    </w:rPr>
  </w:style>
  <w:style w:type="character" w:customStyle="1" w:styleId="BoldandItalics">
    <w:name w:val="Bold and Italics"/>
    <w:qFormat/>
    <w:rsid w:val="00787F87"/>
    <w:rPr>
      <w:b/>
      <w:i/>
      <w:u w:val="none"/>
    </w:rPr>
  </w:style>
  <w:style w:type="paragraph" w:styleId="BalloonText">
    <w:name w:val="Balloon Text"/>
    <w:basedOn w:val="Normal"/>
    <w:link w:val="BalloonTextChar"/>
    <w:rsid w:val="00787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F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F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F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F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F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F87"/>
    <w:pPr>
      <w:spacing w:before="0" w:after="0"/>
    </w:pPr>
  </w:style>
  <w:style w:type="paragraph" w:customStyle="1" w:styleId="BodyTextBold">
    <w:name w:val="Body Text Bold"/>
    <w:basedOn w:val="BodyText"/>
    <w:qFormat/>
    <w:rsid w:val="00787F87"/>
    <w:rPr>
      <w:b/>
    </w:rPr>
  </w:style>
  <w:style w:type="character" w:styleId="Hyperlink">
    <w:name w:val="Hyperlink"/>
    <w:basedOn w:val="DefaultParagraphFont"/>
    <w:uiPriority w:val="99"/>
    <w:unhideWhenUsed/>
    <w:rsid w:val="009E4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2726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TLIX0050 Apply knowledge of technical regulatory framework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