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A08" w:rsidP="00E25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TLIX0047 Review decisions of regulatory bodies</w:t>
      </w:r>
      <w:r>
        <w:fldChar w:fldCharType="end"/>
      </w:r>
    </w:p>
    <w:p w:rsidR="00E25A08" w:rsidP="00E25A08">
      <w:pPr>
        <w:pStyle w:val="Version"/>
        <w:sectPr w:rsidSect="00D10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36B" w:rsidP="00D1036B">
      <w:pPr>
        <w:pStyle w:val="SuperHeading"/>
      </w:pPr>
      <w:r w:rsidRPr="00D1036B">
        <w:t>TLIX0047 Review decisions of regulatory bodies</w:t>
      </w:r>
    </w:p>
    <w:p w:rsidR="00000000" w:rsidRPr="00D1036B" w:rsidP="00D1036B">
      <w:pPr>
        <w:pStyle w:val="Heading1"/>
      </w:pPr>
      <w:bookmarkStart w:id="1" w:name="O_1232791"/>
      <w:bookmarkEnd w:id="1"/>
      <w:r w:rsidRPr="00D103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Release 1</w:t>
            </w:r>
            <w:r w:rsidRPr="00D1036B">
              <w:t>. This is the first release of this unit of competency in the TLI Transport and Logistics Training Package.</w:t>
            </w:r>
          </w:p>
        </w:tc>
      </w:tr>
    </w:tbl>
    <w:p w:rsidR="00E25A08" w:rsidP="00D1036B">
      <w:pPr>
        <w:pStyle w:val="NoPaddingFontSize1"/>
      </w:pPr>
    </w:p>
    <w:p w:rsidR="00E25A08" w:rsidP="00D1036B">
      <w:pPr>
        <w:pStyle w:val="NoPaddingFontSize1"/>
      </w:pPr>
    </w:p>
    <w:p w:rsidR="00000000" w:rsidRPr="00D1036B" w:rsidP="00D1036B">
      <w:pPr>
        <w:pStyle w:val="Heading1"/>
      </w:pPr>
      <w:bookmarkStart w:id="2" w:name="O_1232792"/>
      <w:bookmarkEnd w:id="2"/>
      <w:r w:rsidRPr="00D103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t>This unit involves the skills and knowledge required to review the decision</w:t>
            </w:r>
            <w:r w:rsidRPr="00D1036B">
              <w:t xml:space="preserve">s of regulatory bodies, including current Australian Government departments with the responsibility for border clearance issues. </w:t>
            </w:r>
          </w:p>
          <w:p w:rsidR="00000000" w:rsidRPr="00D1036B" w:rsidP="00D1036B">
            <w:pPr>
              <w:pStyle w:val="BodyText"/>
            </w:pPr>
            <w:r w:rsidRPr="00D1036B">
              <w:t>It includes evaluating the need to respond to a dispute, developing a response and initiating further actions. It also include</w:t>
            </w:r>
            <w:r w:rsidRPr="00D1036B">
              <w:t>s preparing client for compliance assessment (audit) by regulators and responding to forfeiture, seizure and/or condemnation of goods.</w:t>
            </w:r>
          </w:p>
          <w:p w:rsidR="00000000" w:rsidRPr="00D1036B" w:rsidP="00D1036B">
            <w:pPr>
              <w:pStyle w:val="BodyText"/>
            </w:pPr>
            <w:r w:rsidRPr="00D1036B">
              <w:t>This unit applies to individuals who work in the role of customs broker in an on-the-job environment.</w:t>
            </w:r>
          </w:p>
          <w:p w:rsidR="00000000" w:rsidRPr="00D1036B" w:rsidP="00D1036B">
            <w:pPr>
              <w:pStyle w:val="BodyText"/>
            </w:pPr>
            <w:r w:rsidRPr="00D1036B">
              <w:t xml:space="preserve">Work is undertaken </w:t>
            </w:r>
            <w:r w:rsidRPr="00D1036B">
              <w:t>in a range of environments, including small to large worksites, in the customs broking and international supply chain industries.</w:t>
            </w:r>
          </w:p>
          <w:p w:rsidR="00000000" w:rsidRPr="00D1036B" w:rsidP="00D1036B">
            <w:pPr>
              <w:pStyle w:val="BodyText"/>
            </w:pPr>
            <w:r w:rsidRPr="00D1036B">
              <w:t>No licensing, legislative or certification requirements apply to this unit at the time of publication.</w:t>
            </w:r>
          </w:p>
        </w:tc>
      </w:tr>
    </w:tbl>
    <w:p w:rsidR="00E25A08" w:rsidP="00D1036B">
      <w:pPr>
        <w:pStyle w:val="NoPaddingFontSize1"/>
      </w:pPr>
    </w:p>
    <w:p w:rsidR="00E25A08" w:rsidP="00D1036B">
      <w:pPr>
        <w:pStyle w:val="NoPaddingFontSize1"/>
      </w:pPr>
    </w:p>
    <w:p w:rsidR="00000000" w:rsidRPr="00D1036B" w:rsidP="00D1036B">
      <w:pPr>
        <w:pStyle w:val="Heading1"/>
      </w:pPr>
      <w:bookmarkStart w:id="3" w:name="O_1232793"/>
      <w:bookmarkEnd w:id="3"/>
      <w:r w:rsidRPr="00D1036B">
        <w:t>P</w:t>
      </w:r>
      <w:r w:rsidRPr="00D1036B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t>Not applicable.</w:t>
            </w:r>
          </w:p>
        </w:tc>
      </w:tr>
    </w:tbl>
    <w:p w:rsidR="00E25A08" w:rsidP="00D1036B">
      <w:pPr>
        <w:pStyle w:val="NoPaddingFontSize1"/>
      </w:pPr>
    </w:p>
    <w:p w:rsidR="00E25A08" w:rsidP="00D1036B">
      <w:pPr>
        <w:pStyle w:val="NoPaddingFontSize1"/>
      </w:pPr>
    </w:p>
    <w:p w:rsidR="00000000" w:rsidRPr="00D1036B" w:rsidP="00D1036B">
      <w:pPr>
        <w:pStyle w:val="Heading1"/>
      </w:pPr>
      <w:bookmarkStart w:id="4" w:name="O_1232794"/>
      <w:bookmarkEnd w:id="4"/>
      <w:r w:rsidRPr="00D103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t>X – Logistics</w:t>
            </w:r>
          </w:p>
        </w:tc>
      </w:tr>
    </w:tbl>
    <w:p w:rsidR="00E25A08" w:rsidP="00D1036B">
      <w:pPr>
        <w:pStyle w:val="NoPaddingFontSize1"/>
      </w:pPr>
    </w:p>
    <w:p w:rsidR="00E25A08" w:rsidP="00D1036B">
      <w:pPr>
        <w:pStyle w:val="NoPaddingFontSize1"/>
      </w:pPr>
    </w:p>
    <w:p w:rsidR="00000000" w:rsidRPr="00D1036B" w:rsidP="00D1036B">
      <w:pPr>
        <w:pStyle w:val="Heading1"/>
      </w:pPr>
      <w:bookmarkStart w:id="5" w:name="O_1232795"/>
      <w:bookmarkEnd w:id="5"/>
      <w:r w:rsidRPr="00D103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t>Customs Broking</w:t>
            </w:r>
          </w:p>
        </w:tc>
      </w:tr>
    </w:tbl>
    <w:p w:rsidR="00E25A08" w:rsidP="00D1036B">
      <w:pPr>
        <w:pStyle w:val="NoPaddingFontSize1"/>
      </w:pPr>
    </w:p>
    <w:p w:rsidR="00E25A08" w:rsidP="00D1036B">
      <w:pPr>
        <w:pStyle w:val="NoPaddingFontSize1"/>
      </w:pPr>
    </w:p>
    <w:p w:rsidR="00000000" w:rsidRPr="00D1036B" w:rsidP="00D1036B">
      <w:pPr>
        <w:pStyle w:val="Heading1"/>
      </w:pPr>
      <w:bookmarkStart w:id="6" w:name="O_1232796"/>
      <w:bookmarkEnd w:id="6"/>
      <w:r w:rsidRPr="00D103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17"/>
        <w:gridCol w:w="2935"/>
        <w:gridCol w:w="701"/>
        <w:gridCol w:w="3604"/>
        <w:gridCol w:w="1054"/>
      </w:tblGrid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ELEMENTS</w:t>
            </w:r>
          </w:p>
        </w:tc>
        <w:tc>
          <w:tcPr>
            <w:tcW w:w="4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PERFORMANCE CRITERIA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Elements describe the essential outcomes.</w:t>
            </w:r>
          </w:p>
        </w:tc>
        <w:tc>
          <w:tcPr>
            <w:tcW w:w="46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Performance criteria describe the performance needed to demonstrate achievement of the element.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1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Deal with consequences of duty underpaid or overpaid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1.1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Voluntary disclosure is discussed and initiated where a</w:t>
            </w:r>
            <w:r w:rsidRPr="00D1036B">
              <w:t>greed and available with relevant parties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1.2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Consequences of underpaid and overpaid duty are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1.3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Regulator</w:t>
            </w:r>
            <w:r>
              <w:t>’</w:t>
            </w:r>
            <w:r w:rsidRPr="00D1036B">
              <w:t>s power to recover underpaid duty is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1.4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Owner</w:t>
            </w:r>
            <w:r>
              <w:t>’</w:t>
            </w:r>
            <w:r w:rsidRPr="00D1036B">
              <w:t>s ability to recover overpaid duty is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2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Determine decision review options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2.1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Regulatory body decision is evaluated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2.2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Consultation is held with client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2.3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 xml:space="preserve">Available appeal procedures are explained 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3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Develop appropriate dispute response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3.1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Appropriate dispute resolution procedures are followed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3.2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Stakeholders are engaged and consulted in response to dispute development process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3.3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 xml:space="preserve">Appropriate dispute response is determined 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3.4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Import declaration is paid under protest in accordance with Customs Act Section 167 is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3.5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Determine where and when dispute response documentation is lodged to relevant regulatory authority in accordance with regulatory procedures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4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 xml:space="preserve">Initiate </w:t>
            </w:r>
            <w:r w:rsidRPr="00D1036B">
              <w:rPr>
                <w:rStyle w:val="SpecialBold"/>
              </w:rPr>
              <w:t>further actions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4.1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Dispute response is analysed and outcomes are evaluated to determine appropriateness of further actions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4.2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Stakeholders are consulted about appropriateness of further actions and appropriate advice is provided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4.3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Appropriate actions are taken based on stakeholder consultation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5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Prepare client for compliance assessment (audit) by regulators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5.1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Legislated requirements to keep records used in the border clearance of goods is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5.2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Requirements of the prod</w:t>
            </w:r>
            <w:r w:rsidRPr="00D1036B">
              <w:t>uction of required records is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5.3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Customs authority in relation to redline import declarations is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5.4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Customs authority in relation to undertaking monitoring audits is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5.5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Customs authority in relation to undertaking monitoring warrants is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5.6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Legislated process of notification and conduct of a monitoring audit and warrants are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5.7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Appropriate responses to compliance assessments are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6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Develop responses to Infringement Notices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6.1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Options available when a penalty is threatened and/or received are outlined and implemented as required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6.2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Actions subject to penalty provisions are identified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6.3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Issuance of Infringement Notices is validated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6.4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 xml:space="preserve">Elements of an offence are outlined 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6.5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 xml:space="preserve">Consequences of a strict liability offence are explained 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6.6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 xml:space="preserve">Differentiation is explained between a strict liability offence and a prosecution 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6.7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Avai</w:t>
            </w:r>
            <w:r w:rsidRPr="00D1036B">
              <w:t>lable responses to an Infringement Notice are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7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rPr>
                <w:rStyle w:val="SpecialBold"/>
              </w:rPr>
              <w:t>Respond to forfeiture, seizure and/or condemnation of goods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7.1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Circumstances leading to forfeiture, seizure and/or condemnation of goods are determined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7.2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Relevant provisions of the Customs Act as amended are reviewed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7.3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Process of forfeiture, seizure and/or condemnation are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7.4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t>Available responses and timeframes are explained</w:t>
            </w:r>
          </w:p>
        </w:tc>
      </w:tr>
      <w:tr w:rsidTr="00D10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4" w:type="dxa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36B">
            <w:pPr>
              <w:pStyle w:val="BodyText"/>
              <w:rPr>
                <w:lang w:val="en-NZ"/>
              </w:rPr>
            </w:pPr>
            <w:r w:rsidRPr="00D1036B">
              <w:rPr>
                <w:rStyle w:val="SpecialBold"/>
              </w:rPr>
              <w:t>7.5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t>Detinue action is initiated when required</w:t>
            </w:r>
          </w:p>
        </w:tc>
      </w:tr>
    </w:tbl>
    <w:p w:rsidR="00E25A08" w:rsidP="00D1036B">
      <w:pPr>
        <w:pStyle w:val="NoPaddingFontSize1"/>
      </w:pPr>
    </w:p>
    <w:p w:rsidR="00E25A08" w:rsidP="00D1036B">
      <w:pPr>
        <w:pStyle w:val="NoPaddingFontSize1"/>
      </w:pPr>
    </w:p>
    <w:p w:rsidR="00000000" w:rsidRPr="00D1036B" w:rsidP="00D1036B">
      <w:pPr>
        <w:pStyle w:val="Heading1"/>
      </w:pPr>
      <w:bookmarkStart w:id="7" w:name="O_1232797"/>
      <w:bookmarkEnd w:id="7"/>
      <w:r w:rsidRPr="00D103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t>Foundation skills essential to performance are explicit in the performance criteria of this unit of competency.</w:t>
            </w:r>
          </w:p>
        </w:tc>
      </w:tr>
    </w:tbl>
    <w:p w:rsidR="00E25A08" w:rsidP="00D1036B">
      <w:pPr>
        <w:pStyle w:val="NoPaddingFontSize1"/>
      </w:pPr>
    </w:p>
    <w:p w:rsidR="00E25A08" w:rsidP="00D1036B">
      <w:pPr>
        <w:pStyle w:val="NoPaddingFontSize1"/>
      </w:pPr>
    </w:p>
    <w:p w:rsidR="00000000" w:rsidRPr="00D1036B" w:rsidP="00D1036B">
      <w:pPr>
        <w:pStyle w:val="Heading1"/>
      </w:pPr>
      <w:bookmarkStart w:id="8" w:name="O_1232798"/>
      <w:bookmarkEnd w:id="8"/>
      <w:r w:rsidRPr="00D103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t>Range is restricted to essential operating conditions and any other variables essential to the work environment.</w:t>
            </w:r>
          </w:p>
          <w:p w:rsidR="00000000" w:rsidRPr="00D1036B" w:rsidP="00D1036B">
            <w:pPr>
              <w:pStyle w:val="BodyText"/>
            </w:pPr>
            <w:r w:rsidRPr="00D1036B">
              <w:t>Non-essential conditions can be found in the TLI Transport and Logistics Training Package Companion Volume Implementation Guide.</w:t>
            </w:r>
          </w:p>
        </w:tc>
      </w:tr>
    </w:tbl>
    <w:p w:rsidR="00E25A08" w:rsidP="00D1036B">
      <w:pPr>
        <w:pStyle w:val="NoPaddingFontSize1"/>
      </w:pPr>
    </w:p>
    <w:p w:rsidR="00E25A08" w:rsidP="00D1036B">
      <w:pPr>
        <w:pStyle w:val="NoPaddingFontSize1"/>
      </w:pPr>
    </w:p>
    <w:p w:rsidR="00000000" w:rsidRPr="00D1036B" w:rsidP="00D1036B">
      <w:pPr>
        <w:pStyle w:val="Heading1"/>
      </w:pPr>
      <w:bookmarkStart w:id="9" w:name="O_1232799"/>
      <w:bookmarkEnd w:id="9"/>
      <w:r w:rsidRPr="00D103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3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36B" w:rsidP="00D1036B">
            <w:pPr>
              <w:pStyle w:val="BodyText"/>
            </w:pPr>
            <w:r w:rsidRPr="00D1036B">
              <w:t>This unit replaces but is not equivalent to TLIX5058 Review decisions of regulatory bodies.</w:t>
            </w:r>
          </w:p>
        </w:tc>
      </w:tr>
    </w:tbl>
    <w:p w:rsidR="00E25A08" w:rsidP="00D1036B">
      <w:pPr>
        <w:pStyle w:val="NoPaddingFontSize1"/>
      </w:pPr>
    </w:p>
    <w:p w:rsidR="00E25A08" w:rsidP="00D1036B">
      <w:pPr>
        <w:pStyle w:val="NoPaddingFontSize1"/>
      </w:pPr>
    </w:p>
    <w:p w:rsidR="00000000" w:rsidRPr="00D1036B" w:rsidP="00D1036B">
      <w:pPr>
        <w:pStyle w:val="Heading1"/>
      </w:pPr>
      <w:bookmarkStart w:id="10" w:name="O_1232806"/>
      <w:bookmarkEnd w:id="10"/>
      <w:r w:rsidRPr="00D1036B">
        <w:t>Links</w:t>
      </w:r>
    </w:p>
    <w:p w:rsidR="00000000" w:rsidRPr="00D1036B" w:rsidP="00E25A08">
      <w:pPr>
        <w:pStyle w:val="BodyText"/>
      </w:pPr>
      <w:r w:rsidRPr="00D103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24D6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1036B" w:rsidP="00D1036B"/>
    <w:sectPr w:rsidSect="00D103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6B" w:rsidRPr="00E25A08" w:rsidP="00E25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08" w:rsidP="00D10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A08" w:rsidP="00D10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25A08" w:rsidP="00D10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36B" w:rsidRPr="00E25A08" w:rsidP="00E25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08" w:rsidRPr="002D2AF8" w:rsidP="00D10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TLIX0047 Review decisions of regulatory bodies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25A08" w:rsidP="00D10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36B"/>
  </w:style>
  <w:style w:type="character" w:customStyle="1" w:styleId="Heading1Char">
    <w:name w:val="Heading 1 Char"/>
    <w:basedOn w:val="DefaultParagraphFont"/>
    <w:link w:val="Heading1"/>
    <w:rsid w:val="00D10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3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036B"/>
    <w:rPr>
      <w:b/>
      <w:spacing w:val="0"/>
    </w:rPr>
  </w:style>
  <w:style w:type="paragraph" w:customStyle="1" w:styleId="SuperHeading">
    <w:name w:val="SuperHeading"/>
    <w:basedOn w:val="Normal"/>
    <w:rsid w:val="00D10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0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3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3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03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0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3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3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36B"/>
    <w:rPr>
      <w:i/>
    </w:rPr>
  </w:style>
  <w:style w:type="paragraph" w:styleId="Caption">
    <w:name w:val="caption"/>
    <w:basedOn w:val="BodyText"/>
    <w:next w:val="Normal"/>
    <w:qFormat/>
    <w:rsid w:val="00D10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36B"/>
  </w:style>
  <w:style w:type="paragraph" w:styleId="TableofFigures">
    <w:name w:val="table of figures"/>
    <w:basedOn w:val="Normal"/>
    <w:next w:val="Normal"/>
    <w:semiHidden/>
    <w:rsid w:val="00D10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3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036B"/>
    <w:rPr>
      <w:rFonts w:ascii="Wingdings" w:hAnsi="Wingdings"/>
    </w:rPr>
  </w:style>
  <w:style w:type="paragraph" w:customStyle="1" w:styleId="TableHeading">
    <w:name w:val="Table Heading"/>
    <w:basedOn w:val="HeadingBase"/>
    <w:rsid w:val="00D10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36B"/>
    <w:rPr>
      <w:color w:val="0033CC"/>
      <w:u w:val="none"/>
    </w:rPr>
  </w:style>
  <w:style w:type="paragraph" w:customStyle="1" w:styleId="BodyTextRight">
    <w:name w:val="Body Text Right"/>
    <w:basedOn w:val="BodyText"/>
    <w:rsid w:val="00D10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3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36B"/>
    <w:rPr>
      <w:sz w:val="32"/>
    </w:rPr>
  </w:style>
  <w:style w:type="paragraph" w:customStyle="1" w:styleId="HeadingProcedure">
    <w:name w:val="Heading Procedure"/>
    <w:basedOn w:val="HeadingBase"/>
    <w:next w:val="Normal"/>
    <w:rsid w:val="00D10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36B"/>
    <w:pPr>
      <w:spacing w:before="60" w:after="60"/>
    </w:pPr>
  </w:style>
  <w:style w:type="paragraph" w:styleId="ListContinue">
    <w:name w:val="List Continue"/>
    <w:basedOn w:val="List"/>
    <w:rsid w:val="00D1036B"/>
    <w:pPr>
      <w:ind w:firstLine="0"/>
    </w:pPr>
  </w:style>
  <w:style w:type="paragraph" w:customStyle="1" w:styleId="ListNote">
    <w:name w:val="List Note"/>
    <w:basedOn w:val="List"/>
    <w:rsid w:val="00D10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36B"/>
    <w:rPr>
      <w:rFonts w:ascii="Courier New" w:hAnsi="Courier New"/>
    </w:rPr>
  </w:style>
  <w:style w:type="paragraph" w:customStyle="1" w:styleId="NoteBullet">
    <w:name w:val="Note Bullet"/>
    <w:basedOn w:val="Note"/>
    <w:rsid w:val="00D10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3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0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36B"/>
    <w:rPr>
      <w:b/>
      <w:smallCaps/>
    </w:rPr>
  </w:style>
  <w:style w:type="paragraph" w:customStyle="1" w:styleId="TableListNumber">
    <w:name w:val="Table List Number"/>
    <w:basedOn w:val="ListNumber"/>
    <w:rsid w:val="00D10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36B"/>
    <w:pPr>
      <w:numPr>
        <w:numId w:val="7"/>
      </w:numPr>
    </w:pPr>
  </w:style>
  <w:style w:type="paragraph" w:customStyle="1" w:styleId="ListAlpha2">
    <w:name w:val="List Alpha 2"/>
    <w:basedOn w:val="List2"/>
    <w:rsid w:val="00D1036B"/>
    <w:pPr>
      <w:numPr>
        <w:numId w:val="6"/>
      </w:numPr>
    </w:pPr>
  </w:style>
  <w:style w:type="paragraph" w:styleId="List2">
    <w:name w:val="List 2"/>
    <w:basedOn w:val="BodyText"/>
    <w:rsid w:val="00D10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3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3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036B"/>
    <w:pPr>
      <w:numPr>
        <w:numId w:val="2"/>
      </w:numPr>
    </w:pPr>
  </w:style>
  <w:style w:type="paragraph" w:styleId="ListContinue2">
    <w:name w:val="List Continue 2"/>
    <w:basedOn w:val="List2"/>
    <w:rsid w:val="00D1036B"/>
    <w:pPr>
      <w:ind w:firstLine="0"/>
    </w:pPr>
  </w:style>
  <w:style w:type="paragraph" w:styleId="ListContinue3">
    <w:name w:val="List Continue 3"/>
    <w:basedOn w:val="List3"/>
    <w:rsid w:val="00D1036B"/>
    <w:pPr>
      <w:ind w:left="1021" w:firstLine="0"/>
    </w:pPr>
  </w:style>
  <w:style w:type="paragraph" w:styleId="ListContinue4">
    <w:name w:val="List Continue 4"/>
    <w:basedOn w:val="List4"/>
    <w:rsid w:val="00D1036B"/>
    <w:pPr>
      <w:ind w:firstLine="0"/>
    </w:pPr>
  </w:style>
  <w:style w:type="paragraph" w:styleId="ListContinue5">
    <w:name w:val="List Continue 5"/>
    <w:basedOn w:val="List5"/>
    <w:rsid w:val="00D1036B"/>
    <w:pPr>
      <w:ind w:firstLine="0"/>
    </w:pPr>
  </w:style>
  <w:style w:type="paragraph" w:styleId="ListNumber3">
    <w:name w:val="List Number 3"/>
    <w:basedOn w:val="List3"/>
    <w:rsid w:val="00D1036B"/>
    <w:pPr>
      <w:numPr>
        <w:numId w:val="3"/>
      </w:numPr>
    </w:pPr>
  </w:style>
  <w:style w:type="paragraph" w:styleId="ListNumber4">
    <w:name w:val="List Number 4"/>
    <w:basedOn w:val="List4"/>
    <w:rsid w:val="00D1036B"/>
    <w:pPr>
      <w:numPr>
        <w:numId w:val="4"/>
      </w:numPr>
    </w:pPr>
  </w:style>
  <w:style w:type="paragraph" w:styleId="ListNumber5">
    <w:name w:val="List Number 5"/>
    <w:basedOn w:val="List5"/>
    <w:rsid w:val="00D1036B"/>
    <w:pPr>
      <w:numPr>
        <w:numId w:val="5"/>
      </w:numPr>
    </w:pPr>
  </w:style>
  <w:style w:type="paragraph" w:styleId="BlockText">
    <w:name w:val="Block Text"/>
    <w:basedOn w:val="Normal"/>
    <w:rsid w:val="00D10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36B"/>
    <w:rPr>
      <w:sz w:val="16"/>
      <w:vertAlign w:val="superscript"/>
    </w:rPr>
  </w:style>
  <w:style w:type="character" w:customStyle="1" w:styleId="Symbols">
    <w:name w:val="Symbols"/>
    <w:basedOn w:val="DefaultParagraphFont"/>
    <w:rsid w:val="00D1036B"/>
    <w:rPr>
      <w:rFonts w:ascii="Symbol" w:hAnsi="Symbol"/>
    </w:rPr>
  </w:style>
  <w:style w:type="character" w:customStyle="1" w:styleId="MenuOptions">
    <w:name w:val="Menu Options"/>
    <w:basedOn w:val="DefaultParagraphFont"/>
    <w:rsid w:val="00D10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36B"/>
    <w:rPr>
      <w:b/>
    </w:rPr>
  </w:style>
  <w:style w:type="character" w:customStyle="1" w:styleId="Underlined">
    <w:name w:val="Underlined"/>
    <w:basedOn w:val="DefaultParagraphFont"/>
    <w:rsid w:val="00D1036B"/>
    <w:rPr>
      <w:u w:val="single"/>
    </w:rPr>
  </w:style>
  <w:style w:type="paragraph" w:customStyle="1" w:styleId="TableBodyTextRight">
    <w:name w:val="Table Body Text Right"/>
    <w:basedOn w:val="TableBodyText"/>
    <w:rsid w:val="00D10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36B"/>
    <w:rPr>
      <w:sz w:val="18"/>
    </w:rPr>
  </w:style>
  <w:style w:type="paragraph" w:customStyle="1" w:styleId="BodySmallRight">
    <w:name w:val="Body Small Right"/>
    <w:basedOn w:val="BodyTextRight"/>
    <w:rsid w:val="00D1036B"/>
    <w:rPr>
      <w:sz w:val="18"/>
      <w:szCs w:val="18"/>
    </w:rPr>
  </w:style>
  <w:style w:type="paragraph" w:customStyle="1" w:styleId="MarginEdition">
    <w:name w:val="Margin Edition"/>
    <w:basedOn w:val="MarginNote"/>
    <w:rsid w:val="00D10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36B"/>
    <w:rPr>
      <w:sz w:val="2"/>
      <w:szCs w:val="2"/>
    </w:rPr>
  </w:style>
  <w:style w:type="character" w:customStyle="1" w:styleId="Small">
    <w:name w:val="Small"/>
    <w:basedOn w:val="DefaultParagraphFont"/>
    <w:rsid w:val="00D1036B"/>
    <w:rPr>
      <w:sz w:val="16"/>
    </w:rPr>
  </w:style>
  <w:style w:type="paragraph" w:customStyle="1" w:styleId="WideTable">
    <w:name w:val="Wide Table"/>
    <w:basedOn w:val="Normal"/>
    <w:rsid w:val="00D10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36B"/>
  </w:style>
  <w:style w:type="paragraph" w:styleId="Quote">
    <w:name w:val="Quote"/>
    <w:basedOn w:val="Heading1"/>
    <w:link w:val="QuoteChar"/>
    <w:qFormat/>
    <w:rsid w:val="00D10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36B"/>
    <w:pPr>
      <w:pageBreakBefore/>
    </w:pPr>
  </w:style>
  <w:style w:type="paragraph" w:customStyle="1" w:styleId="Border">
    <w:name w:val="Border"/>
    <w:basedOn w:val="Normal"/>
    <w:qFormat/>
    <w:rsid w:val="00D10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36B"/>
    <w:rPr>
      <w:u w:val="single"/>
    </w:rPr>
  </w:style>
  <w:style w:type="character" w:customStyle="1" w:styleId="BoldandItalics">
    <w:name w:val="Bold and Italics"/>
    <w:qFormat/>
    <w:rsid w:val="00D1036B"/>
    <w:rPr>
      <w:b/>
      <w:i/>
      <w:u w:val="none"/>
    </w:rPr>
  </w:style>
  <w:style w:type="paragraph" w:styleId="BalloonText">
    <w:name w:val="Balloon Text"/>
    <w:basedOn w:val="Normal"/>
    <w:link w:val="BalloonTextChar"/>
    <w:rsid w:val="00D10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36B"/>
    <w:pPr>
      <w:spacing w:before="0" w:after="0"/>
    </w:pPr>
  </w:style>
  <w:style w:type="paragraph" w:customStyle="1" w:styleId="BodyTextBold">
    <w:name w:val="Body Text Bold"/>
    <w:basedOn w:val="BodyText"/>
    <w:qFormat/>
    <w:rsid w:val="00D1036B"/>
    <w:rPr>
      <w:b/>
    </w:rPr>
  </w:style>
  <w:style w:type="character" w:styleId="Hyperlink">
    <w:name w:val="Hyperlink"/>
    <w:basedOn w:val="DefaultParagraphFont"/>
    <w:uiPriority w:val="99"/>
    <w:unhideWhenUsed/>
    <w:rsid w:val="00E25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4429</Characters>
  <Application>Microsoft Office Word</Application>
  <DocSecurity>0</DocSecurity>
  <Lines>276</Lines>
  <Paragraphs>138</Paragraphs>
  <ScaleCrop>false</ScaleCrop>
  <Company>Author-it Software Corporation Ltd.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TLIX0047 Review decisions of regulatory bodies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