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25F" w:rsidP="00EC5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TLIX0047 Review decisions of regulatory bodies</w:t>
      </w:r>
      <w:r>
        <w:fldChar w:fldCharType="end"/>
      </w:r>
    </w:p>
    <w:p w:rsidR="00EC525F" w:rsidP="00EC525F">
      <w:pPr>
        <w:pStyle w:val="Version"/>
        <w:sectPr w:rsidSect="00207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350" w:rsidP="00207350">
      <w:pPr>
        <w:pStyle w:val="SuperHeading"/>
      </w:pPr>
      <w:r w:rsidRPr="00207350">
        <w:t>TLIX0047 Review decisions of regulatory bodies</w:t>
      </w:r>
    </w:p>
    <w:p w:rsidR="00000000" w:rsidRPr="00207350" w:rsidP="00207350">
      <w:pPr>
        <w:pStyle w:val="Heading1"/>
      </w:pPr>
      <w:bookmarkStart w:id="1" w:name="O_1232791"/>
      <w:bookmarkEnd w:id="1"/>
      <w:r w:rsidRPr="002073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Release 1</w:t>
            </w:r>
            <w:r w:rsidRPr="00207350">
              <w:t>. This is the first release of this unit of competency in the TLI Transport and Logistics Training Package.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2" w:name="O_1232792"/>
      <w:bookmarkEnd w:id="2"/>
      <w:r w:rsidRPr="002073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This unit involves the skills and knowledge required to review the decision</w:t>
            </w:r>
            <w:r w:rsidRPr="00207350">
              <w:t xml:space="preserve">s of regulatory bodies, including current Australian Government departments with the responsibility for border clearance issues. </w:t>
            </w:r>
          </w:p>
          <w:p w:rsidR="00000000" w:rsidRPr="00207350" w:rsidP="00207350">
            <w:pPr>
              <w:pStyle w:val="BodyText"/>
            </w:pPr>
            <w:r w:rsidRPr="00207350">
              <w:t>It includes evaluating the need to respond to a dispute, developing a response and initiating further actions. It also include</w:t>
            </w:r>
            <w:r w:rsidRPr="00207350">
              <w:t>s preparing client for compliance assessment (audit) by regulators and responding to forfeiture, seizure and/or condemnation of goods.</w:t>
            </w:r>
          </w:p>
          <w:p w:rsidR="00000000" w:rsidRPr="00207350" w:rsidP="00207350">
            <w:pPr>
              <w:pStyle w:val="BodyText"/>
            </w:pPr>
            <w:r w:rsidRPr="00207350">
              <w:t>This unit applies to individuals who work in the role of customs broker in an on-the-job environment.</w:t>
            </w:r>
          </w:p>
          <w:p w:rsidR="00000000" w:rsidRPr="00207350" w:rsidP="00207350">
            <w:pPr>
              <w:pStyle w:val="BodyText"/>
            </w:pPr>
            <w:r w:rsidRPr="00207350">
              <w:t xml:space="preserve">Work is undertaken </w:t>
            </w:r>
            <w:r w:rsidRPr="00207350">
              <w:t>in a range of environments, including small to large worksites, in the customs broking and international supply chain industries.</w:t>
            </w:r>
          </w:p>
          <w:p w:rsidR="00000000" w:rsidRPr="00207350" w:rsidP="00207350">
            <w:pPr>
              <w:pStyle w:val="BodyText"/>
            </w:pPr>
            <w:r w:rsidRPr="00207350">
              <w:t>No licensing, legislative or certification requirements apply to this unit at the time of publication.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3" w:name="O_1232793"/>
      <w:bookmarkEnd w:id="3"/>
      <w:r w:rsidRPr="00207350">
        <w:t>P</w:t>
      </w:r>
      <w:r w:rsidRPr="00207350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Not applicable.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4" w:name="O_1232794"/>
      <w:bookmarkEnd w:id="4"/>
      <w:r w:rsidRPr="002073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X – Logistics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5" w:name="O_1232795"/>
      <w:bookmarkEnd w:id="5"/>
      <w:r w:rsidRPr="002073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Customs Broking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6" w:name="O_1232796"/>
      <w:bookmarkEnd w:id="6"/>
      <w:r w:rsidRPr="002073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17"/>
        <w:gridCol w:w="2935"/>
        <w:gridCol w:w="701"/>
        <w:gridCol w:w="3604"/>
        <w:gridCol w:w="1054"/>
      </w:tblGrid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ELEMENTS</w:t>
            </w:r>
          </w:p>
        </w:tc>
        <w:tc>
          <w:tcPr>
            <w:tcW w:w="4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PERFORMANCE CRITERIA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Elements describe the essential outcomes.</w:t>
            </w:r>
          </w:p>
        </w:tc>
        <w:tc>
          <w:tcPr>
            <w:tcW w:w="4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Performance criteria describe the performance needed to demonstrate achievement of the element.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Deal with consequences of duty underpaid or overpaid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1.1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Voluntary disclosure is discussed and initiated where a</w:t>
            </w:r>
            <w:r w:rsidRPr="00207350">
              <w:t>greed and available with relevant parties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1.2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Consequences of underpaid and overpaid duty are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1.3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Regulator</w:t>
            </w:r>
            <w:r>
              <w:t>’</w:t>
            </w:r>
            <w:r w:rsidRPr="00207350">
              <w:t>s power to recover underpaid duty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1.4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Owner</w:t>
            </w:r>
            <w:r>
              <w:t>’</w:t>
            </w:r>
            <w:r w:rsidRPr="00207350">
              <w:t>s ability to recover overpaid duty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2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Determine decision review options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2.1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Regulatory body decision is evaluated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2.2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Consultation is held with client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2.3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 xml:space="preserve">Available appeal procedures are explained 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3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Develop appropriate dispute response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3.1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Appropriate dispute resolution procedures are followed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3.2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Stakeholders are engaged and consulted in response to dispute development process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3.3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 xml:space="preserve">Appropriate dispute response is determined 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3.4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Import declaration is paid under protest in accordance with Customs Act Section 167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3.5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Determine where and when dispute response documentation is lodged to relevant regulatory authority in accordance with regulatory procedures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4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 xml:space="preserve">Initiate </w:t>
            </w:r>
            <w:r w:rsidRPr="00207350">
              <w:rPr>
                <w:rStyle w:val="SpecialBold"/>
              </w:rPr>
              <w:t>further actions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4.1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Dispute response is analysed and outcomes are evaluated to determine appropriateness of further actions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4.2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Stakeholders are consulted about appropriateness of further actions and appropriate advice is provided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4.3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Appropriate actions are taken based on stakeholder consultation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5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Prepare client for compliance assessment (audit) by regulators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Legislated requirements to keep records used in the border clearance of goods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Requirements of the prod</w:t>
            </w:r>
            <w:r w:rsidRPr="00207350">
              <w:t>uction of required records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Customs authority in relation to redline import declarations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Customs authority in relation to undertaking monitoring audits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Customs authority in relation to undertaking monitoring warrants is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5.6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Legislated process of notification and conduct of a monitoring audit and warrants are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5.7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Appropriate responses to compliance assessments are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Develop responses to Infringement Notices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Options available when a penalty is threatened and/or received are outlined and implemented as required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Actions subject to penalty provisions are identified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Issuance of Infringement Notices is validated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 xml:space="preserve">Elements of an offence are outlined 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 xml:space="preserve">Consequences of a strict liability offence are explained 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6.6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 xml:space="preserve">Differentiation is explained between a strict liability offence and a prosecution 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6.7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Available responses to an Infringement Notice are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7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Respond to forfeiture, seizure and/or condemnation of goods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7.1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Circumstances leading to forfeiture, seizure and/or condemnation of goods are determined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7.2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Relevant provisions of the Custom</w:t>
            </w:r>
            <w:r w:rsidRPr="00207350">
              <w:t>s Act as amended are reviewed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7.3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Process of forfeiture, seizure and/or condemnation are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7.4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Available responses and timeframes are explained</w:t>
            </w:r>
          </w:p>
        </w:tc>
      </w:tr>
      <w:tr w:rsidTr="0020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rPr>
                <w:rStyle w:val="SpecialBold"/>
              </w:rPr>
              <w:t>7.5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Detinue action is initiated when required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7" w:name="O_1232797"/>
      <w:bookmarkEnd w:id="7"/>
      <w:r w:rsidRPr="002073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Foundation skills essential to performance are explicit in the performance criteria of this unit of competency.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8" w:name="O_1232798"/>
      <w:bookmarkEnd w:id="8"/>
      <w:r w:rsidRPr="002073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Range is restricted to essential operating conditions and any other variables essential to the work environment.</w:t>
            </w:r>
          </w:p>
          <w:p w:rsidR="00000000" w:rsidRPr="00207350" w:rsidP="00207350">
            <w:pPr>
              <w:pStyle w:val="BodyText"/>
            </w:pPr>
            <w:r w:rsidRPr="00207350">
              <w:t>Non-essential conditions can be found in the TLI Transport and Logistics Training Package Companion Volume Implementation Guide.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9" w:name="O_1232799"/>
      <w:bookmarkEnd w:id="9"/>
      <w:r w:rsidRPr="002073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This unit replaces but is not equivalent to TLIX5058 Review decisions of regulatory bodies.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10" w:name="O_1232806"/>
      <w:bookmarkEnd w:id="10"/>
      <w:r w:rsidRPr="00207350">
        <w:t>Links</w:t>
      </w:r>
    </w:p>
    <w:p w:rsidR="00000000" w:rsidRPr="00207350" w:rsidP="00EC525F">
      <w:pPr>
        <w:pStyle w:val="BodyText"/>
      </w:pPr>
      <w:r w:rsidRPr="00207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65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7350" w:rsidP="00EC525F">
      <w:pPr>
        <w:pStyle w:val="BodyText"/>
        <w:sectPr w:rsidSect="002073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350" w:rsidP="00207350">
      <w:pPr>
        <w:pStyle w:val="SuperHeading"/>
      </w:pPr>
      <w:r w:rsidRPr="00207350">
        <w:t>Assessment Requirements for TLIX0047 Review decisions of regulatory bodies</w:t>
      </w:r>
    </w:p>
    <w:p w:rsidR="00000000" w:rsidRPr="00207350" w:rsidP="00207350">
      <w:pPr>
        <w:pStyle w:val="Heading1"/>
      </w:pPr>
      <w:bookmarkStart w:id="11" w:name="O_1232801"/>
      <w:bookmarkEnd w:id="11"/>
      <w:r w:rsidRPr="002073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rPr>
                <w:rStyle w:val="SpecialBold"/>
              </w:rPr>
              <w:t>Release 1</w:t>
            </w:r>
            <w:r w:rsidRPr="00207350">
              <w:t>. This is the first release of this unit of competency in the TLI Transport and Logistics Training Package.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12" w:name="O_1232802"/>
      <w:bookmarkEnd w:id="12"/>
      <w:r w:rsidRPr="002073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Evidence required to demonstrate competence in this unit must be relevant to and satisfy all of the requi</w:t>
            </w:r>
            <w:r w:rsidRPr="00207350">
              <w:t>rements of the elements and performance criteria on at least one occasion and include:</w:t>
            </w:r>
          </w:p>
        </w:tc>
      </w:tr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ListBullet"/>
            </w:pPr>
            <w:r w:rsidRPr="00207350">
              <w:t>applying dispute resolution processes and procedures</w:t>
            </w:r>
          </w:p>
          <w:p w:rsidR="00000000" w:rsidRPr="00207350" w:rsidP="00207350">
            <w:pPr>
              <w:pStyle w:val="ListBullet"/>
            </w:pPr>
            <w:r w:rsidRPr="00207350">
              <w:t>developing an explanation in relation to consequences of duty short or over payment</w:t>
            </w:r>
          </w:p>
          <w:p w:rsidR="00000000" w:rsidRPr="00207350" w:rsidP="00207350">
            <w:pPr>
              <w:pStyle w:val="ListBullet"/>
            </w:pPr>
            <w:r w:rsidRPr="00207350">
              <w:t>developing appropriate dispute response</w:t>
            </w:r>
          </w:p>
          <w:p w:rsidR="00000000" w:rsidRPr="00207350" w:rsidP="00207350">
            <w:pPr>
              <w:pStyle w:val="ListBullet"/>
            </w:pPr>
            <w:r w:rsidRPr="00207350">
              <w:t>explaining and outlining options in dealing with forfeiture, seizure and/or condemnation of goods</w:t>
            </w:r>
          </w:p>
          <w:p w:rsidR="00000000" w:rsidRPr="00207350" w:rsidP="00207350">
            <w:pPr>
              <w:pStyle w:val="ListBullet"/>
            </w:pPr>
            <w:r w:rsidRPr="00207350">
              <w:t>explaining issues relating to regulatory compliance assessments (audit).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13" w:name="O_1232803"/>
      <w:bookmarkEnd w:id="13"/>
      <w:r w:rsidRPr="002073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50">
            <w:pPr>
              <w:pStyle w:val="BodyText"/>
              <w:rPr>
                <w:lang w:val="en-NZ"/>
              </w:rPr>
            </w:pPr>
            <w:r w:rsidRPr="00207350">
              <w:t>Evid</w:t>
            </w:r>
            <w:r w:rsidRPr="00207350">
              <w:t>ence required to demonstrate competence in this unit must be relevant to and satisfy all of the requirements of the elements and performance criteria and include knowledge of:</w:t>
            </w:r>
          </w:p>
        </w:tc>
      </w:tr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ListBullet"/>
            </w:pPr>
            <w:r w:rsidRPr="00207350">
              <w:t>compliance assessment methodology</w:t>
            </w:r>
          </w:p>
          <w:p w:rsidR="00000000" w:rsidRPr="00207350" w:rsidP="00207350">
            <w:pPr>
              <w:pStyle w:val="ListBullet"/>
            </w:pPr>
            <w:r w:rsidRPr="00207350">
              <w:t>customs prosecutions</w:t>
            </w:r>
          </w:p>
          <w:p w:rsidR="00000000" w:rsidRPr="00207350" w:rsidP="00207350">
            <w:pPr>
              <w:pStyle w:val="ListBullet"/>
            </w:pPr>
            <w:r w:rsidRPr="00207350">
              <w:t>dispu</w:t>
            </w:r>
            <w:r w:rsidRPr="00207350">
              <w:t>te resolution procedures</w:t>
            </w:r>
          </w:p>
          <w:p w:rsidR="00000000" w:rsidRPr="00207350" w:rsidP="00207350">
            <w:pPr>
              <w:pStyle w:val="ListBullet"/>
            </w:pPr>
            <w:r w:rsidRPr="00207350">
              <w:t>ethical governance accountability to resolve regulatory disputes</w:t>
            </w:r>
          </w:p>
          <w:p w:rsidR="00000000" w:rsidRPr="00207350" w:rsidP="00207350">
            <w:pPr>
              <w:pStyle w:val="ListBullet"/>
            </w:pPr>
            <w:r w:rsidRPr="00207350">
              <w:t xml:space="preserve">forfeiture, seizure and condemnation provisions of the Customs Act </w:t>
            </w:r>
          </w:p>
          <w:p w:rsidR="00000000" w:rsidRPr="00207350" w:rsidP="00207350">
            <w:pPr>
              <w:pStyle w:val="ListBullet"/>
            </w:pPr>
            <w:r w:rsidRPr="00207350">
              <w:t xml:space="preserve">internal and external appeal processes for reviewing decisions </w:t>
            </w:r>
          </w:p>
          <w:p w:rsidR="00000000" w:rsidRPr="00207350" w:rsidP="00207350">
            <w:pPr>
              <w:pStyle w:val="ListBullet"/>
            </w:pPr>
            <w:r w:rsidRPr="00207350">
              <w:t xml:space="preserve">monitoring and export examination </w:t>
            </w:r>
            <w:r w:rsidRPr="00207350">
              <w:t>powers under the relevant and current Customs Act, and related Infringement Notice guidelines and Infringement Notice regulations</w:t>
            </w:r>
          </w:p>
          <w:p w:rsidR="00000000" w:rsidRPr="00207350" w:rsidP="00207350">
            <w:pPr>
              <w:pStyle w:val="ListBullet"/>
            </w:pPr>
            <w:r w:rsidRPr="00207350">
              <w:t>requirements for payments under protest.</w:t>
            </w:r>
          </w:p>
        </w:tc>
      </w:tr>
    </w:tbl>
    <w:p w:rsidR="00EC525F" w:rsidP="00207350">
      <w:pPr>
        <w:pStyle w:val="NoPaddingFontSize1"/>
      </w:pPr>
    </w:p>
    <w:p w:rsidR="00EC525F" w:rsidP="00207350">
      <w:pPr>
        <w:pStyle w:val="NoPaddingFontSize1"/>
      </w:pPr>
    </w:p>
    <w:p w:rsidR="00000000" w:rsidRPr="00207350" w:rsidP="00207350">
      <w:pPr>
        <w:pStyle w:val="Heading1"/>
      </w:pPr>
      <w:bookmarkStart w:id="14" w:name="O_1232804"/>
      <w:bookmarkEnd w:id="14"/>
      <w:r w:rsidRPr="002073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73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50" w:rsidP="00207350">
            <w:pPr>
              <w:pStyle w:val="BodyText"/>
            </w:pPr>
            <w:r w:rsidRPr="00207350">
              <w:t>Assessors must hold credentials specified</w:t>
            </w:r>
            <w:r w:rsidRPr="00207350">
              <w:t xml:space="preserve"> within the Standards for Registered Training Organisations current at the time of assessment. </w:t>
            </w:r>
          </w:p>
          <w:p w:rsidR="00000000" w:rsidRPr="00207350" w:rsidP="00207350">
            <w:pPr>
              <w:pStyle w:val="BodyText"/>
            </w:pPr>
            <w:r w:rsidRPr="00207350">
              <w:t xml:space="preserve">Assessment must satisfy the Principles of Assessment and Rules of Evidence and all regulatory requirements </w:t>
            </w:r>
            <w:r w:rsidRPr="00207350">
              <w:t>included within the Standards for Registered Training Organisations current at the time of assessment.</w:t>
            </w:r>
          </w:p>
          <w:p w:rsidR="00000000" w:rsidRPr="00207350" w:rsidP="00207350">
            <w:pPr>
              <w:pStyle w:val="BodyText"/>
            </w:pPr>
            <w:r w:rsidRPr="00207350">
              <w:t>Assessment must occur in workplace operational situations where it is appropriate to do so; where this is not appropriate, assessment must occur in simul</w:t>
            </w:r>
            <w:r w:rsidRPr="00207350">
              <w:t xml:space="preserve">ated workplace operational situations that replicate workplace conditions. </w:t>
            </w:r>
          </w:p>
          <w:p w:rsidR="00000000" w:rsidRPr="00207350" w:rsidP="00207350">
            <w:pPr>
              <w:pStyle w:val="BodyText"/>
            </w:pPr>
            <w:r w:rsidRPr="0020735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07350" w:rsidP="00207350">
            <w:pPr>
              <w:pStyle w:val="BodyText"/>
            </w:pPr>
            <w:r w:rsidRPr="00207350">
              <w:t>Resources fo</w:t>
            </w:r>
            <w:r w:rsidRPr="00207350">
              <w:t>r assessment must include access to:</w:t>
            </w:r>
          </w:p>
          <w:p w:rsidR="00000000" w:rsidRPr="00207350" w:rsidP="00207350">
            <w:pPr>
              <w:pStyle w:val="ListBullet"/>
            </w:pPr>
            <w:r w:rsidRPr="00207350">
              <w:t>a range of relevant exercises, case studies and/or simulations</w:t>
            </w:r>
          </w:p>
          <w:p w:rsidR="00000000" w:rsidRPr="00207350" w:rsidP="00207350">
            <w:pPr>
              <w:pStyle w:val="ListBullet"/>
            </w:pPr>
            <w:r w:rsidRPr="00207350">
              <w:t>applicable documentation including workplace procedures, regulations, codes of practice and operation manuals.</w:t>
            </w:r>
          </w:p>
        </w:tc>
      </w:tr>
    </w:tbl>
    <w:p w:rsidR="00EC525F" w:rsidP="00207350">
      <w:pPr>
        <w:pStyle w:val="BodyText"/>
      </w:pPr>
    </w:p>
    <w:p w:rsidR="00EC525F" w:rsidP="00207350">
      <w:pPr>
        <w:pStyle w:val="BodyText"/>
      </w:pPr>
    </w:p>
    <w:p w:rsidR="00000000" w:rsidRPr="00207350" w:rsidP="00207350">
      <w:pPr>
        <w:pStyle w:val="Heading1"/>
      </w:pPr>
      <w:bookmarkStart w:id="15" w:name="O_1232807"/>
      <w:bookmarkEnd w:id="15"/>
      <w:r w:rsidRPr="00207350">
        <w:t>Links</w:t>
      </w:r>
    </w:p>
    <w:p w:rsidR="00000000" w:rsidRPr="00207350" w:rsidP="00EC525F">
      <w:pPr>
        <w:pStyle w:val="BodyText"/>
      </w:pPr>
      <w:r w:rsidRPr="00207350">
        <w:t>Companion Volume</w:t>
      </w:r>
      <w:r w:rsidRPr="0020735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65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7350" w:rsidP="00207350"/>
    <w:sectPr w:rsidSect="002073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 w:rsidRPr="00EC525F" w:rsidP="00EC5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5F" w:rsidP="00207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525F" w:rsidP="00207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525F" w:rsidP="002073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 w:rsidP="00207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25F">
      <w:t>Approved</w:t>
    </w:r>
    <w:r w:rsidR="00EC52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25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25F">
      <w:rPr>
        <w:noProof/>
      </w:rPr>
      <w:t>5</w:t>
    </w:r>
    <w:r>
      <w:rPr>
        <w:noProof/>
      </w:rPr>
      <w:fldChar w:fldCharType="end"/>
    </w:r>
  </w:p>
  <w:p w:rsidR="00207350" w:rsidP="00207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2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25F">
      <w:t>Industry Skills Australia</w:t>
    </w:r>
    <w:r w:rsidR="00EC525F">
      <w:fldChar w:fldCharType="end"/>
    </w:r>
  </w:p>
  <w:p w:rsidR="00207350" w:rsidP="00207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350" w:rsidRPr="00EC525F" w:rsidP="00EC5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5F" w:rsidRPr="002D2AF8" w:rsidP="00207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TLIX0047 Review decisions of regulatory bodies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25F" w:rsidP="002073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50" w:rsidRPr="002D2AF8" w:rsidP="00207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25F">
      <w:t>TLIX0047 Review decisions of regulatory bodies</w:t>
    </w:r>
    <w:r w:rsidR="00EC52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25F">
      <w:rPr>
        <w:noProof/>
      </w:rPr>
      <w:t>2 March 2025</w:t>
    </w:r>
    <w:r>
      <w:fldChar w:fldCharType="end"/>
    </w:r>
  </w:p>
  <w:p w:rsidR="00207350" w:rsidP="00207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AE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0D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350"/>
  </w:style>
  <w:style w:type="character" w:customStyle="1" w:styleId="Heading1Char">
    <w:name w:val="Heading 1 Char"/>
    <w:basedOn w:val="DefaultParagraphFont"/>
    <w:link w:val="Heading1"/>
    <w:rsid w:val="00207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3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350"/>
    <w:rPr>
      <w:b/>
      <w:spacing w:val="0"/>
    </w:rPr>
  </w:style>
  <w:style w:type="paragraph" w:customStyle="1" w:styleId="SuperHeading">
    <w:name w:val="SuperHeading"/>
    <w:basedOn w:val="Normal"/>
    <w:rsid w:val="00207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7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350"/>
    <w:rPr>
      <w:i/>
    </w:rPr>
  </w:style>
  <w:style w:type="paragraph" w:styleId="Caption">
    <w:name w:val="caption"/>
    <w:basedOn w:val="BodyText"/>
    <w:next w:val="Normal"/>
    <w:qFormat/>
    <w:rsid w:val="00207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350"/>
  </w:style>
  <w:style w:type="paragraph" w:styleId="TableofFigures">
    <w:name w:val="table of figures"/>
    <w:basedOn w:val="Normal"/>
    <w:next w:val="Normal"/>
    <w:semiHidden/>
    <w:rsid w:val="00207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350"/>
    <w:rPr>
      <w:rFonts w:ascii="Wingdings" w:hAnsi="Wingdings"/>
    </w:rPr>
  </w:style>
  <w:style w:type="paragraph" w:customStyle="1" w:styleId="TableHeading">
    <w:name w:val="Table Heading"/>
    <w:basedOn w:val="HeadingBase"/>
    <w:rsid w:val="00207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350"/>
    <w:rPr>
      <w:color w:val="0033CC"/>
      <w:u w:val="none"/>
    </w:rPr>
  </w:style>
  <w:style w:type="paragraph" w:customStyle="1" w:styleId="BodyTextRight">
    <w:name w:val="Body Text Right"/>
    <w:basedOn w:val="BodyText"/>
    <w:rsid w:val="00207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350"/>
    <w:rPr>
      <w:sz w:val="32"/>
    </w:rPr>
  </w:style>
  <w:style w:type="paragraph" w:customStyle="1" w:styleId="HeadingProcedure">
    <w:name w:val="Heading Procedure"/>
    <w:basedOn w:val="HeadingBase"/>
    <w:next w:val="Normal"/>
    <w:rsid w:val="00207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350"/>
    <w:pPr>
      <w:spacing w:before="60" w:after="60"/>
    </w:pPr>
  </w:style>
  <w:style w:type="paragraph" w:styleId="ListContinue">
    <w:name w:val="List Continue"/>
    <w:basedOn w:val="List"/>
    <w:rsid w:val="00207350"/>
    <w:pPr>
      <w:ind w:firstLine="0"/>
    </w:pPr>
  </w:style>
  <w:style w:type="paragraph" w:customStyle="1" w:styleId="ListNote">
    <w:name w:val="List Note"/>
    <w:basedOn w:val="List"/>
    <w:rsid w:val="00207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350"/>
    <w:rPr>
      <w:rFonts w:ascii="Courier New" w:hAnsi="Courier New"/>
    </w:rPr>
  </w:style>
  <w:style w:type="paragraph" w:customStyle="1" w:styleId="NoteBullet">
    <w:name w:val="Note Bullet"/>
    <w:basedOn w:val="Note"/>
    <w:rsid w:val="00207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350"/>
    <w:rPr>
      <w:b/>
      <w:smallCaps/>
    </w:rPr>
  </w:style>
  <w:style w:type="paragraph" w:customStyle="1" w:styleId="TableListNumber">
    <w:name w:val="Table List Number"/>
    <w:basedOn w:val="ListNumber"/>
    <w:rsid w:val="00207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350"/>
    <w:pPr>
      <w:numPr>
        <w:numId w:val="8"/>
      </w:numPr>
    </w:pPr>
  </w:style>
  <w:style w:type="paragraph" w:customStyle="1" w:styleId="ListAlpha2">
    <w:name w:val="List Alpha 2"/>
    <w:basedOn w:val="List2"/>
    <w:rsid w:val="00207350"/>
    <w:pPr>
      <w:numPr>
        <w:numId w:val="7"/>
      </w:numPr>
    </w:pPr>
  </w:style>
  <w:style w:type="paragraph" w:styleId="List2">
    <w:name w:val="List 2"/>
    <w:basedOn w:val="BodyText"/>
    <w:rsid w:val="00207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350"/>
    <w:pPr>
      <w:numPr>
        <w:numId w:val="3"/>
      </w:numPr>
    </w:pPr>
  </w:style>
  <w:style w:type="paragraph" w:styleId="ListContinue2">
    <w:name w:val="List Continue 2"/>
    <w:basedOn w:val="List2"/>
    <w:rsid w:val="00207350"/>
    <w:pPr>
      <w:ind w:firstLine="0"/>
    </w:pPr>
  </w:style>
  <w:style w:type="paragraph" w:styleId="ListContinue3">
    <w:name w:val="List Continue 3"/>
    <w:basedOn w:val="List3"/>
    <w:rsid w:val="00207350"/>
    <w:pPr>
      <w:ind w:left="1021" w:firstLine="0"/>
    </w:pPr>
  </w:style>
  <w:style w:type="paragraph" w:styleId="ListContinue4">
    <w:name w:val="List Continue 4"/>
    <w:basedOn w:val="List4"/>
    <w:rsid w:val="00207350"/>
    <w:pPr>
      <w:ind w:firstLine="0"/>
    </w:pPr>
  </w:style>
  <w:style w:type="paragraph" w:styleId="ListContinue5">
    <w:name w:val="List Continue 5"/>
    <w:basedOn w:val="List5"/>
    <w:rsid w:val="00207350"/>
    <w:pPr>
      <w:ind w:firstLine="0"/>
    </w:pPr>
  </w:style>
  <w:style w:type="paragraph" w:styleId="ListNumber3">
    <w:name w:val="List Number 3"/>
    <w:basedOn w:val="List3"/>
    <w:rsid w:val="00207350"/>
    <w:pPr>
      <w:numPr>
        <w:numId w:val="4"/>
      </w:numPr>
    </w:pPr>
  </w:style>
  <w:style w:type="paragraph" w:styleId="ListNumber4">
    <w:name w:val="List Number 4"/>
    <w:basedOn w:val="List4"/>
    <w:rsid w:val="00207350"/>
    <w:pPr>
      <w:numPr>
        <w:numId w:val="5"/>
      </w:numPr>
    </w:pPr>
  </w:style>
  <w:style w:type="paragraph" w:styleId="ListNumber5">
    <w:name w:val="List Number 5"/>
    <w:basedOn w:val="List5"/>
    <w:rsid w:val="00207350"/>
    <w:pPr>
      <w:numPr>
        <w:numId w:val="6"/>
      </w:numPr>
    </w:pPr>
  </w:style>
  <w:style w:type="paragraph" w:styleId="BlockText">
    <w:name w:val="Block Text"/>
    <w:basedOn w:val="Normal"/>
    <w:rsid w:val="00207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350"/>
    <w:rPr>
      <w:sz w:val="16"/>
      <w:vertAlign w:val="superscript"/>
    </w:rPr>
  </w:style>
  <w:style w:type="character" w:customStyle="1" w:styleId="Symbols">
    <w:name w:val="Symbols"/>
    <w:basedOn w:val="DefaultParagraphFont"/>
    <w:rsid w:val="00207350"/>
    <w:rPr>
      <w:rFonts w:ascii="Symbol" w:hAnsi="Symbol"/>
    </w:rPr>
  </w:style>
  <w:style w:type="character" w:customStyle="1" w:styleId="MenuOptions">
    <w:name w:val="Menu Options"/>
    <w:basedOn w:val="DefaultParagraphFont"/>
    <w:rsid w:val="00207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350"/>
    <w:rPr>
      <w:b/>
    </w:rPr>
  </w:style>
  <w:style w:type="character" w:customStyle="1" w:styleId="Underlined">
    <w:name w:val="Underlined"/>
    <w:basedOn w:val="DefaultParagraphFont"/>
    <w:rsid w:val="00207350"/>
    <w:rPr>
      <w:u w:val="single"/>
    </w:rPr>
  </w:style>
  <w:style w:type="paragraph" w:customStyle="1" w:styleId="TableBodyTextRight">
    <w:name w:val="Table Body Text Right"/>
    <w:basedOn w:val="TableBodyText"/>
    <w:rsid w:val="00207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350"/>
    <w:rPr>
      <w:sz w:val="18"/>
    </w:rPr>
  </w:style>
  <w:style w:type="paragraph" w:customStyle="1" w:styleId="BodySmallRight">
    <w:name w:val="Body Small Right"/>
    <w:basedOn w:val="BodyTextRight"/>
    <w:rsid w:val="00207350"/>
    <w:rPr>
      <w:sz w:val="18"/>
      <w:szCs w:val="18"/>
    </w:rPr>
  </w:style>
  <w:style w:type="paragraph" w:customStyle="1" w:styleId="MarginEdition">
    <w:name w:val="Margin Edition"/>
    <w:basedOn w:val="MarginNote"/>
    <w:rsid w:val="00207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350"/>
    <w:rPr>
      <w:sz w:val="2"/>
      <w:szCs w:val="2"/>
    </w:rPr>
  </w:style>
  <w:style w:type="character" w:customStyle="1" w:styleId="Small">
    <w:name w:val="Small"/>
    <w:basedOn w:val="DefaultParagraphFont"/>
    <w:rsid w:val="00207350"/>
    <w:rPr>
      <w:sz w:val="16"/>
    </w:rPr>
  </w:style>
  <w:style w:type="paragraph" w:customStyle="1" w:styleId="WideTable">
    <w:name w:val="Wide Table"/>
    <w:basedOn w:val="Normal"/>
    <w:rsid w:val="00207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350"/>
  </w:style>
  <w:style w:type="paragraph" w:styleId="Quote">
    <w:name w:val="Quote"/>
    <w:basedOn w:val="Heading1"/>
    <w:link w:val="QuoteChar"/>
    <w:qFormat/>
    <w:rsid w:val="00207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350"/>
    <w:pPr>
      <w:pageBreakBefore/>
    </w:pPr>
  </w:style>
  <w:style w:type="paragraph" w:customStyle="1" w:styleId="Border">
    <w:name w:val="Border"/>
    <w:basedOn w:val="Normal"/>
    <w:qFormat/>
    <w:rsid w:val="00207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350"/>
    <w:rPr>
      <w:u w:val="single"/>
    </w:rPr>
  </w:style>
  <w:style w:type="character" w:customStyle="1" w:styleId="BoldandItalics">
    <w:name w:val="Bold and Italics"/>
    <w:qFormat/>
    <w:rsid w:val="00207350"/>
    <w:rPr>
      <w:b/>
      <w:i/>
      <w:u w:val="none"/>
    </w:rPr>
  </w:style>
  <w:style w:type="paragraph" w:styleId="BalloonText">
    <w:name w:val="Balloon Text"/>
    <w:basedOn w:val="Normal"/>
    <w:link w:val="BalloonTextChar"/>
    <w:rsid w:val="00207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350"/>
    <w:pPr>
      <w:spacing w:before="0" w:after="0"/>
    </w:pPr>
  </w:style>
  <w:style w:type="paragraph" w:customStyle="1" w:styleId="BodyTextBold">
    <w:name w:val="Body Text Bold"/>
    <w:basedOn w:val="BodyText"/>
    <w:qFormat/>
    <w:rsid w:val="00207350"/>
    <w:rPr>
      <w:b/>
    </w:rPr>
  </w:style>
  <w:style w:type="character" w:styleId="Hyperlink">
    <w:name w:val="Hyperlink"/>
    <w:basedOn w:val="DefaultParagraphFont"/>
    <w:uiPriority w:val="99"/>
    <w:unhideWhenUsed/>
    <w:rsid w:val="00EC5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6793</Characters>
  <Application>Microsoft Office Word</Application>
  <DocSecurity>0</DocSecurity>
  <Lines>339</Lines>
  <Paragraphs>170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TLIX0047 Review decisions of regulatory bodies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