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424" w:rsidP="00E61424">
      <w:pPr>
        <w:pStyle w:val="Title"/>
      </w:pPr>
      <w:r>
        <w:fldChar w:fldCharType="begin"/>
      </w:r>
      <w:r>
        <w:instrText xml:space="preserve"> TITLE   \* MERGEFORMAT </w:instrText>
      </w:r>
      <w:r>
        <w:fldChar w:fldCharType="separate"/>
      </w:r>
      <w:r>
        <w:t>Assessment Requirements for TLIX0047 Review decisions of regulatory bodies</w:t>
      </w:r>
      <w:r>
        <w:fldChar w:fldCharType="end"/>
      </w:r>
    </w:p>
    <w:p w:rsidR="00E61424" w:rsidP="00E61424">
      <w:pPr>
        <w:pStyle w:val="Version"/>
        <w:sectPr w:rsidSect="00FD6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62E" w:rsidP="00FD662E">
      <w:pPr>
        <w:pStyle w:val="SuperHeading"/>
      </w:pPr>
      <w:r w:rsidRPr="00FD662E">
        <w:t>Assessment Requirements for TLIX0047 Review decisions of regulatory bodies</w:t>
      </w:r>
    </w:p>
    <w:p w:rsidR="00000000" w:rsidRPr="00FD662E" w:rsidP="00FD662E">
      <w:pPr>
        <w:pStyle w:val="Heading1"/>
      </w:pPr>
      <w:bookmarkStart w:id="1" w:name="O_1232801"/>
      <w:bookmarkEnd w:id="1"/>
      <w:r w:rsidRPr="00FD662E">
        <w:t>Modification History</w:t>
      </w:r>
    </w:p>
    <w:tbl>
      <w:tblPr>
        <w:tblW w:w="9497" w:type="dxa"/>
        <w:tblLayout w:type="fixed"/>
        <w:tblCellMar>
          <w:left w:w="62" w:type="dxa"/>
          <w:right w:w="62" w:type="dxa"/>
        </w:tblCellMar>
        <w:tblLook w:val="0000"/>
      </w:tblPr>
      <w:tblGrid>
        <w:gridCol w:w="9497"/>
      </w:tblGrid>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62E" w:rsidP="00FD662E">
            <w:pPr>
              <w:pStyle w:val="BodyText"/>
            </w:pPr>
            <w:r w:rsidRPr="00FD662E">
              <w:rPr>
                <w:rStyle w:val="SpecialBold"/>
              </w:rPr>
              <w:t>Release 1</w:t>
            </w:r>
            <w:r w:rsidRPr="00FD662E">
              <w:t>. This is the first release of this unit of competency in the TLI Transport and Logistics Training Package.</w:t>
            </w:r>
          </w:p>
        </w:tc>
      </w:tr>
    </w:tbl>
    <w:p w:rsidR="00E61424" w:rsidP="00FD662E">
      <w:pPr>
        <w:pStyle w:val="NoPaddingFontSize1"/>
      </w:pPr>
    </w:p>
    <w:p w:rsidR="00E61424" w:rsidP="00FD662E">
      <w:pPr>
        <w:pStyle w:val="NoPaddingFontSize1"/>
      </w:pPr>
    </w:p>
    <w:p w:rsidR="00000000" w:rsidRPr="00FD662E" w:rsidP="00FD662E">
      <w:pPr>
        <w:pStyle w:val="Heading1"/>
      </w:pPr>
      <w:bookmarkStart w:id="2" w:name="O_1232802"/>
      <w:bookmarkEnd w:id="2"/>
      <w:r w:rsidRPr="00FD662E">
        <w:t>Performance Evidence</w:t>
      </w:r>
    </w:p>
    <w:tbl>
      <w:tblPr>
        <w:tblW w:w="9497" w:type="dxa"/>
        <w:tblLayout w:type="fixed"/>
        <w:tblCellMar>
          <w:left w:w="62" w:type="dxa"/>
          <w:right w:w="62" w:type="dxa"/>
        </w:tblCellMar>
        <w:tblLook w:val="0000"/>
      </w:tblPr>
      <w:tblGrid>
        <w:gridCol w:w="9497"/>
      </w:tblGrid>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662E">
            <w:pPr>
              <w:pStyle w:val="BodyText"/>
              <w:rPr>
                <w:lang w:val="en-NZ"/>
              </w:rPr>
            </w:pPr>
            <w:r w:rsidRPr="00FD662E">
              <w:t>Evidence required to demonstrate competence in this unit must be relevant to and satisfy all of the requirements of the elements and performance criteria on at least one occasion and include:</w:t>
            </w:r>
          </w:p>
        </w:tc>
      </w:tr>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62E" w:rsidP="00FD662E">
            <w:pPr>
              <w:pStyle w:val="ListBullet"/>
            </w:pPr>
            <w:r w:rsidRPr="00FD662E">
              <w:t>applying dispute resolution processes and</w:t>
            </w:r>
            <w:r w:rsidRPr="00FD662E">
              <w:t xml:space="preserve"> procedures</w:t>
            </w:r>
          </w:p>
          <w:p w:rsidR="00000000" w:rsidRPr="00FD662E" w:rsidP="00FD662E">
            <w:pPr>
              <w:pStyle w:val="ListBullet"/>
            </w:pPr>
            <w:r w:rsidRPr="00FD662E">
              <w:t>developing an explanation in relation to consequences of duty short or over payment</w:t>
            </w:r>
          </w:p>
          <w:p w:rsidR="00000000" w:rsidRPr="00FD662E" w:rsidP="00FD662E">
            <w:pPr>
              <w:pStyle w:val="ListBullet"/>
            </w:pPr>
            <w:r w:rsidRPr="00FD662E">
              <w:t>developing appropriate dispute response</w:t>
            </w:r>
          </w:p>
          <w:p w:rsidR="00000000" w:rsidRPr="00FD662E" w:rsidP="00FD662E">
            <w:pPr>
              <w:pStyle w:val="ListBullet"/>
            </w:pPr>
            <w:r w:rsidRPr="00FD662E">
              <w:t>explaining and outlining options in dealing with forfeiture, seizure and/or condemnation of goods</w:t>
            </w:r>
          </w:p>
          <w:p w:rsidR="00000000" w:rsidRPr="00FD662E" w:rsidP="00FD662E">
            <w:pPr>
              <w:pStyle w:val="ListBullet"/>
            </w:pPr>
            <w:r w:rsidRPr="00FD662E">
              <w:t>explaining issues rela</w:t>
            </w:r>
            <w:r w:rsidRPr="00FD662E">
              <w:t>ting to regulatory compliance assessments (audit).</w:t>
            </w:r>
          </w:p>
        </w:tc>
      </w:tr>
    </w:tbl>
    <w:p w:rsidR="00E61424" w:rsidP="00FD662E">
      <w:pPr>
        <w:pStyle w:val="NoPaddingFontSize1"/>
      </w:pPr>
    </w:p>
    <w:p w:rsidR="00E61424" w:rsidP="00FD662E">
      <w:pPr>
        <w:pStyle w:val="NoPaddingFontSize1"/>
      </w:pPr>
    </w:p>
    <w:p w:rsidR="00000000" w:rsidRPr="00FD662E" w:rsidP="00FD662E">
      <w:pPr>
        <w:pStyle w:val="Heading1"/>
      </w:pPr>
      <w:bookmarkStart w:id="3" w:name="O_1232803"/>
      <w:bookmarkEnd w:id="3"/>
      <w:r w:rsidRPr="00FD662E">
        <w:t>Knowledge Evidence</w:t>
      </w:r>
    </w:p>
    <w:tbl>
      <w:tblPr>
        <w:tblW w:w="9497" w:type="dxa"/>
        <w:tblLayout w:type="fixed"/>
        <w:tblCellMar>
          <w:left w:w="62" w:type="dxa"/>
          <w:right w:w="62" w:type="dxa"/>
        </w:tblCellMar>
        <w:tblLook w:val="0000"/>
      </w:tblPr>
      <w:tblGrid>
        <w:gridCol w:w="9497"/>
      </w:tblGrid>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662E">
            <w:pPr>
              <w:pStyle w:val="BodyText"/>
              <w:rPr>
                <w:lang w:val="en-NZ"/>
              </w:rPr>
            </w:pPr>
            <w:r w:rsidRPr="00FD662E">
              <w:t xml:space="preserve">Evidence required to demonstrate competence in this unit must be relevant to and satisfy all of the requirements of the elements and performance </w:t>
            </w:r>
            <w:r w:rsidRPr="00FD662E">
              <w:t>criteria and include knowledge of:</w:t>
            </w:r>
          </w:p>
        </w:tc>
      </w:tr>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62E" w:rsidP="00FD662E">
            <w:pPr>
              <w:pStyle w:val="ListBullet"/>
            </w:pPr>
            <w:r w:rsidRPr="00FD662E">
              <w:t>compliance assessment methodology</w:t>
            </w:r>
          </w:p>
          <w:p w:rsidR="00000000" w:rsidRPr="00FD662E" w:rsidP="00FD662E">
            <w:pPr>
              <w:pStyle w:val="ListBullet"/>
            </w:pPr>
            <w:r w:rsidRPr="00FD662E">
              <w:t>customs prosecutions</w:t>
            </w:r>
          </w:p>
          <w:p w:rsidR="00000000" w:rsidRPr="00FD662E" w:rsidP="00FD662E">
            <w:pPr>
              <w:pStyle w:val="ListBullet"/>
            </w:pPr>
            <w:r w:rsidRPr="00FD662E">
              <w:t>dispute resolution procedures</w:t>
            </w:r>
          </w:p>
          <w:p w:rsidR="00000000" w:rsidRPr="00FD662E" w:rsidP="00FD662E">
            <w:pPr>
              <w:pStyle w:val="ListBullet"/>
            </w:pPr>
            <w:r w:rsidRPr="00FD662E">
              <w:t>ethical governance accountability to resolve regulatory disputes</w:t>
            </w:r>
          </w:p>
          <w:p w:rsidR="00000000" w:rsidRPr="00FD662E" w:rsidP="00FD662E">
            <w:pPr>
              <w:pStyle w:val="ListBullet"/>
            </w:pPr>
            <w:r w:rsidRPr="00FD662E">
              <w:t xml:space="preserve">forfeiture, seizure and condemnation provisions of the Customs Act </w:t>
            </w:r>
          </w:p>
          <w:p w:rsidR="00000000" w:rsidRPr="00FD662E" w:rsidP="00FD662E">
            <w:pPr>
              <w:pStyle w:val="ListBullet"/>
            </w:pPr>
            <w:r w:rsidRPr="00FD662E">
              <w:t>i</w:t>
            </w:r>
            <w:r w:rsidRPr="00FD662E">
              <w:t xml:space="preserve">nternal and external appeal processes for reviewing decisions </w:t>
            </w:r>
          </w:p>
          <w:p w:rsidR="00000000" w:rsidRPr="00FD662E" w:rsidP="00FD662E">
            <w:pPr>
              <w:pStyle w:val="ListBullet"/>
            </w:pPr>
            <w:r w:rsidRPr="00FD662E">
              <w:t>monitoring and export examination powers under the relevant and current Customs Act, and related Infringement Notice guidelines and Infringement Notice regulations</w:t>
            </w:r>
          </w:p>
          <w:p w:rsidR="00000000" w:rsidRPr="00FD662E" w:rsidP="00FD662E">
            <w:pPr>
              <w:pStyle w:val="ListBullet"/>
            </w:pPr>
            <w:r w:rsidRPr="00FD662E">
              <w:t>requirements for payments und</w:t>
            </w:r>
            <w:r w:rsidRPr="00FD662E">
              <w:t>er protest.</w:t>
            </w:r>
          </w:p>
        </w:tc>
      </w:tr>
    </w:tbl>
    <w:p w:rsidR="00E61424" w:rsidP="00FD662E">
      <w:pPr>
        <w:pStyle w:val="NoPaddingFontSize1"/>
      </w:pPr>
    </w:p>
    <w:p w:rsidR="00E61424" w:rsidP="00FD662E">
      <w:pPr>
        <w:pStyle w:val="NoPaddingFontSize1"/>
      </w:pPr>
    </w:p>
    <w:p w:rsidR="00000000" w:rsidRPr="00FD662E" w:rsidP="00FD662E">
      <w:pPr>
        <w:pStyle w:val="Heading1"/>
      </w:pPr>
      <w:bookmarkStart w:id="4" w:name="O_1232804"/>
      <w:bookmarkEnd w:id="4"/>
      <w:r w:rsidRPr="00FD662E">
        <w:t>Assessment Conditions</w:t>
      </w:r>
    </w:p>
    <w:tbl>
      <w:tblPr>
        <w:tblW w:w="9497" w:type="dxa"/>
        <w:tblLayout w:type="fixed"/>
        <w:tblCellMar>
          <w:left w:w="62" w:type="dxa"/>
          <w:right w:w="62" w:type="dxa"/>
        </w:tblCellMar>
        <w:tblLook w:val="0000"/>
      </w:tblPr>
      <w:tblGrid>
        <w:gridCol w:w="9497"/>
      </w:tblGrid>
      <w:tr w:rsidTr="00FD6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62E" w:rsidP="00FD662E">
            <w:pPr>
              <w:pStyle w:val="BodyText"/>
            </w:pPr>
            <w:r w:rsidRPr="00FD662E">
              <w:t xml:space="preserve">Assessors must hold credentials specified within the Standards for Registered Training Organisations current at the time of assessment. </w:t>
            </w:r>
          </w:p>
          <w:p w:rsidR="00000000" w:rsidRPr="00FD662E" w:rsidP="00FD662E">
            <w:pPr>
              <w:pStyle w:val="BodyText"/>
            </w:pPr>
            <w:r w:rsidRPr="00FD662E">
              <w:t>Assessment must satisfy the Princi</w:t>
            </w:r>
            <w:r w:rsidRPr="00FD662E">
              <w:t>ples of Assessment and Rules of Evidence and all regulatory requirements included within the Standards for Registered Training Organisations current at the time of assessment.</w:t>
            </w:r>
          </w:p>
          <w:p w:rsidR="00000000" w:rsidRPr="00FD662E" w:rsidP="00FD662E">
            <w:pPr>
              <w:pStyle w:val="BodyText"/>
            </w:pPr>
            <w:r w:rsidRPr="00FD662E">
              <w:t>Assessment must occur in workplace operational situations where it is appropriat</w:t>
            </w:r>
            <w:r w:rsidRPr="00FD662E">
              <w:t xml:space="preserve">e to do so; </w:t>
            </w:r>
            <w:r w:rsidRPr="00FD662E">
              <w:t xml:space="preserve">where this is not appropriate, assessment must occur in simulated workplace operational situations that replicate workplace conditions. </w:t>
            </w:r>
          </w:p>
          <w:p w:rsidR="00000000" w:rsidRPr="00FD662E" w:rsidP="00FD662E">
            <w:pPr>
              <w:pStyle w:val="BodyText"/>
            </w:pPr>
            <w:r w:rsidRPr="00FD662E">
              <w:t>Assessment processes and techniques must be appropriate to the language, literacy and numeracy requirements</w:t>
            </w:r>
            <w:r w:rsidRPr="00FD662E">
              <w:t xml:space="preserve"> of the work being performed and the needs of the candidate.</w:t>
            </w:r>
          </w:p>
          <w:p w:rsidR="00000000" w:rsidRPr="00FD662E" w:rsidP="00FD662E">
            <w:pPr>
              <w:pStyle w:val="BodyText"/>
            </w:pPr>
            <w:r w:rsidRPr="00FD662E">
              <w:t>Resources for assessment must include access to:</w:t>
            </w:r>
          </w:p>
          <w:p w:rsidR="00000000" w:rsidRPr="00FD662E" w:rsidP="00FD662E">
            <w:pPr>
              <w:pStyle w:val="ListBullet"/>
            </w:pPr>
            <w:r w:rsidRPr="00FD662E">
              <w:t>a range of relevant exercises, case studies and/or simulations</w:t>
            </w:r>
          </w:p>
          <w:p w:rsidR="00000000" w:rsidRPr="00FD662E" w:rsidP="00FD662E">
            <w:pPr>
              <w:pStyle w:val="ListBullet"/>
            </w:pPr>
            <w:r w:rsidRPr="00FD662E">
              <w:t>applicable documentation including workplace procedures, regulations, codes of pra</w:t>
            </w:r>
            <w:r w:rsidRPr="00FD662E">
              <w:t>ctice and operation manuals.</w:t>
            </w:r>
          </w:p>
        </w:tc>
      </w:tr>
    </w:tbl>
    <w:p w:rsidR="00E61424" w:rsidP="00FD662E">
      <w:pPr>
        <w:pStyle w:val="BodyText"/>
      </w:pPr>
    </w:p>
    <w:p w:rsidR="00E61424" w:rsidP="00FD662E">
      <w:pPr>
        <w:pStyle w:val="BodyText"/>
      </w:pPr>
    </w:p>
    <w:p w:rsidR="00000000" w:rsidRPr="00FD662E" w:rsidP="00FD662E">
      <w:pPr>
        <w:pStyle w:val="Heading1"/>
      </w:pPr>
      <w:bookmarkStart w:id="5" w:name="O_1232807"/>
      <w:bookmarkEnd w:id="5"/>
      <w:r w:rsidRPr="00FD662E">
        <w:t>Links</w:t>
      </w:r>
    </w:p>
    <w:p w:rsidR="00000000" w:rsidRPr="00FD662E" w:rsidP="00E61424">
      <w:pPr>
        <w:pStyle w:val="BodyText"/>
      </w:pPr>
      <w:r w:rsidRPr="00FD66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0D61">
        <w:rPr>
          <w:rStyle w:val="Hyperlink"/>
        </w:rPr>
        <w:t>https://vetnet.gov.au/Pages/TrainingDocs.aspx?q=df441c6e-213d-43e3-874c-0b3f7036d851</w:t>
      </w:r>
      <w:r>
        <w:fldChar w:fldCharType="end"/>
      </w:r>
    </w:p>
    <w:p w:rsidR="00000000" w:rsidRPr="00FD662E" w:rsidP="00FD662E"/>
    <w:sectPr w:rsidSect="00FD66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E" w:rsidRPr="00E61424" w:rsidP="00E61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24" w:rsidP="00FD6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1424" w:rsidP="00FD66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61424" w:rsidP="00FD6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62E" w:rsidRPr="00E61424" w:rsidP="00E61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24" w:rsidRPr="002D2AF8" w:rsidP="00FD662E">
    <w:pPr>
      <w:pStyle w:val="Header"/>
      <w:framePr w:wrap="around"/>
    </w:pPr>
    <w:r>
      <w:fldChar w:fldCharType="begin"/>
    </w:r>
    <w:r>
      <w:instrText xml:space="preserve"> TITLE   \* MERGEFORMAT </w:instrText>
    </w:r>
    <w:r>
      <w:fldChar w:fldCharType="separate"/>
    </w:r>
    <w:r>
      <w:t>Assessment Requirements for TLIX0047 Review decisions of regulatory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61424" w:rsidP="00FD6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821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69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62E"/>
    <w:pPr>
      <w:spacing w:before="360" w:after="60"/>
      <w:outlineLvl w:val="0"/>
    </w:pPr>
    <w:rPr>
      <w:sz w:val="32"/>
    </w:rPr>
  </w:style>
  <w:style w:type="paragraph" w:styleId="Heading2">
    <w:name w:val="heading 2"/>
    <w:basedOn w:val="HeadingBase"/>
    <w:next w:val="BodyText"/>
    <w:link w:val="Heading2Char"/>
    <w:qFormat/>
    <w:rsid w:val="00FD662E"/>
    <w:pPr>
      <w:keepLines/>
      <w:spacing w:before="240" w:after="120"/>
      <w:outlineLvl w:val="1"/>
    </w:pPr>
    <w:rPr>
      <w:sz w:val="28"/>
      <w:szCs w:val="40"/>
    </w:rPr>
  </w:style>
  <w:style w:type="paragraph" w:styleId="Heading3">
    <w:name w:val="heading 3"/>
    <w:basedOn w:val="HeadingBase"/>
    <w:next w:val="BodyText"/>
    <w:link w:val="Heading3Char"/>
    <w:qFormat/>
    <w:rsid w:val="00FD662E"/>
    <w:pPr>
      <w:spacing w:before="180" w:after="120"/>
      <w:outlineLvl w:val="2"/>
    </w:pPr>
    <w:rPr>
      <w:spacing w:val="-10"/>
      <w:kern w:val="32"/>
    </w:rPr>
  </w:style>
  <w:style w:type="paragraph" w:styleId="Heading4">
    <w:name w:val="heading 4"/>
    <w:basedOn w:val="HeadingBase"/>
    <w:next w:val="BodyText"/>
    <w:link w:val="Heading4Char"/>
    <w:qFormat/>
    <w:rsid w:val="00FD662E"/>
    <w:pPr>
      <w:spacing w:before="160" w:after="120"/>
      <w:outlineLvl w:val="3"/>
    </w:pPr>
    <w:rPr>
      <w:sz w:val="22"/>
    </w:rPr>
  </w:style>
  <w:style w:type="paragraph" w:styleId="Heading5">
    <w:name w:val="heading 5"/>
    <w:basedOn w:val="HeadingBase"/>
    <w:next w:val="Normal"/>
    <w:link w:val="Heading5Char"/>
    <w:qFormat/>
    <w:rsid w:val="00FD662E"/>
    <w:pPr>
      <w:spacing w:before="80"/>
      <w:outlineLvl w:val="4"/>
    </w:pPr>
    <w:rPr>
      <w:color w:val="918585"/>
      <w:sz w:val="20"/>
    </w:rPr>
  </w:style>
  <w:style w:type="paragraph" w:styleId="Heading6">
    <w:name w:val="heading 6"/>
    <w:basedOn w:val="HeadingBase"/>
    <w:next w:val="Normal"/>
    <w:link w:val="Heading6Char"/>
    <w:qFormat/>
    <w:rsid w:val="00FD662E"/>
    <w:pPr>
      <w:spacing w:before="60"/>
      <w:outlineLvl w:val="5"/>
    </w:pPr>
    <w:rPr>
      <w:color w:val="918585"/>
      <w:sz w:val="20"/>
    </w:rPr>
  </w:style>
  <w:style w:type="paragraph" w:styleId="Heading7">
    <w:name w:val="heading 7"/>
    <w:basedOn w:val="Normal"/>
    <w:next w:val="Normal"/>
    <w:link w:val="Heading7Char"/>
    <w:qFormat/>
    <w:rsid w:val="00FD662E"/>
    <w:pPr>
      <w:ind w:left="720"/>
      <w:outlineLvl w:val="6"/>
    </w:pPr>
    <w:rPr>
      <w:i/>
    </w:rPr>
  </w:style>
  <w:style w:type="paragraph" w:styleId="Heading8">
    <w:name w:val="heading 8"/>
    <w:basedOn w:val="Normal"/>
    <w:next w:val="Normal"/>
    <w:link w:val="Heading8Char"/>
    <w:qFormat/>
    <w:rsid w:val="00FD662E"/>
    <w:pPr>
      <w:ind w:left="720"/>
      <w:outlineLvl w:val="7"/>
    </w:pPr>
    <w:rPr>
      <w:i/>
    </w:rPr>
  </w:style>
  <w:style w:type="paragraph" w:styleId="Heading9">
    <w:name w:val="heading 9"/>
    <w:basedOn w:val="Normal"/>
    <w:next w:val="Normal"/>
    <w:link w:val="Heading9Char"/>
    <w:qFormat/>
    <w:rsid w:val="00FD662E"/>
    <w:pPr>
      <w:ind w:left="720"/>
      <w:outlineLvl w:val="8"/>
    </w:pPr>
    <w:rPr>
      <w:i/>
    </w:rPr>
  </w:style>
  <w:style w:type="character" w:default="1" w:styleId="DefaultParagraphFont">
    <w:name w:val="Default Paragraph Font"/>
    <w:uiPriority w:val="1"/>
    <w:unhideWhenUsed/>
    <w:rsid w:val="00FD6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62E"/>
  </w:style>
  <w:style w:type="character" w:customStyle="1" w:styleId="Heading1Char">
    <w:name w:val="Heading 1 Char"/>
    <w:basedOn w:val="DefaultParagraphFont"/>
    <w:link w:val="Heading1"/>
    <w:rsid w:val="00FD662E"/>
    <w:rPr>
      <w:rFonts w:ascii="Times New Roman" w:eastAsia="Times New Roman" w:hAnsi="Times New Roman" w:cs="Times New Roman"/>
      <w:b/>
      <w:sz w:val="32"/>
      <w:szCs w:val="20"/>
      <w:lang w:eastAsia="en-US"/>
    </w:rPr>
  </w:style>
  <w:style w:type="paragraph" w:styleId="BodyText">
    <w:name w:val="Body Text"/>
    <w:basedOn w:val="Normal"/>
    <w:link w:val="BodyTextChar"/>
    <w:rsid w:val="00FD6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62E"/>
    <w:rPr>
      <w:rFonts w:ascii="Times New Roman" w:eastAsia="Times New Roman" w:hAnsi="Times New Roman" w:cs="Times New Roman"/>
      <w:sz w:val="24"/>
      <w:lang w:eastAsia="en-US"/>
    </w:rPr>
  </w:style>
  <w:style w:type="paragraph" w:styleId="ListBullet">
    <w:name w:val="List Bullet"/>
    <w:basedOn w:val="List"/>
    <w:rsid w:val="00FD662E"/>
    <w:pPr>
      <w:numPr>
        <w:numId w:val="11"/>
      </w:numPr>
      <w:tabs>
        <w:tab w:val="clear" w:pos="340"/>
      </w:tabs>
      <w:spacing w:before="40" w:after="40"/>
    </w:pPr>
  </w:style>
  <w:style w:type="character" w:customStyle="1" w:styleId="SpecialBold">
    <w:name w:val="Special Bold"/>
    <w:basedOn w:val="DefaultParagraphFont"/>
    <w:rsid w:val="00FD662E"/>
    <w:rPr>
      <w:b/>
      <w:spacing w:val="0"/>
    </w:rPr>
  </w:style>
  <w:style w:type="paragraph" w:customStyle="1" w:styleId="SuperHeading">
    <w:name w:val="SuperHeading"/>
    <w:basedOn w:val="Normal"/>
    <w:rsid w:val="00FD662E"/>
    <w:pPr>
      <w:spacing w:before="240" w:after="120"/>
      <w:outlineLvl w:val="0"/>
    </w:pPr>
    <w:rPr>
      <w:rFonts w:ascii="Times New Roman" w:hAnsi="Times New Roman"/>
      <w:b/>
      <w:sz w:val="32"/>
    </w:rPr>
  </w:style>
  <w:style w:type="paragraph" w:customStyle="1" w:styleId="AllowPageBreak">
    <w:name w:val="AllowPageBreak"/>
    <w:rsid w:val="00FD6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6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62E"/>
    <w:rPr>
      <w:rFonts w:ascii="Courier New" w:eastAsia="Times New Roman" w:hAnsi="Courier New" w:cs="Times New Roman"/>
      <w:i/>
      <w:szCs w:val="20"/>
      <w:lang w:eastAsia="en-US"/>
    </w:rPr>
  </w:style>
  <w:style w:type="paragraph" w:customStyle="1" w:styleId="HeadingBase">
    <w:name w:val="Heading Base"/>
    <w:rsid w:val="00FD6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62E"/>
    <w:pPr>
      <w:tabs>
        <w:tab w:val="right" w:leader="dot" w:pos="9072"/>
      </w:tabs>
      <w:ind w:left="567"/>
    </w:pPr>
    <w:rPr>
      <w:szCs w:val="22"/>
    </w:rPr>
  </w:style>
  <w:style w:type="paragraph" w:customStyle="1" w:styleId="TOCBase">
    <w:name w:val="TOC Base"/>
    <w:rsid w:val="00FD6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62E"/>
    <w:pPr>
      <w:tabs>
        <w:tab w:val="right" w:leader="dot" w:pos="9072"/>
      </w:tabs>
      <w:spacing w:before="40" w:after="40"/>
      <w:ind w:left="284"/>
    </w:pPr>
    <w:rPr>
      <w:rFonts w:ascii="Times New Roman" w:hAnsi="Times New Roman"/>
    </w:rPr>
  </w:style>
  <w:style w:type="paragraph" w:styleId="TOC1">
    <w:name w:val="toc 1"/>
    <w:basedOn w:val="TOCBase"/>
    <w:next w:val="Normal"/>
    <w:rsid w:val="00FD6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62E"/>
    <w:rPr>
      <w:rFonts w:ascii="Times New Roman" w:eastAsia="Times New Roman" w:hAnsi="Times New Roman" w:cs="Times New Roman"/>
      <w:sz w:val="16"/>
      <w:lang w:eastAsia="en-US"/>
    </w:rPr>
  </w:style>
  <w:style w:type="paragraph" w:styleId="Title">
    <w:name w:val="Title"/>
    <w:basedOn w:val="HeadingBase"/>
    <w:link w:val="TitleChar"/>
    <w:qFormat/>
    <w:rsid w:val="00FD662E"/>
    <w:pPr>
      <w:spacing w:before="5040"/>
      <w:jc w:val="center"/>
    </w:pPr>
    <w:rPr>
      <w:sz w:val="48"/>
      <w:szCs w:val="72"/>
      <w:lang w:val="en-US"/>
    </w:rPr>
  </w:style>
  <w:style w:type="character" w:customStyle="1" w:styleId="TitleChar">
    <w:name w:val="Title Char"/>
    <w:basedOn w:val="DefaultParagraphFont"/>
    <w:link w:val="Title"/>
    <w:rsid w:val="00FD6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62E"/>
    <w:pPr>
      <w:tabs>
        <w:tab w:val="left" w:pos="3600"/>
        <w:tab w:val="left" w:pos="3958"/>
      </w:tabs>
    </w:pPr>
  </w:style>
  <w:style w:type="paragraph" w:styleId="List">
    <w:name w:val="List"/>
    <w:basedOn w:val="BodyText"/>
    <w:next w:val="BodyText"/>
    <w:rsid w:val="00FD662E"/>
    <w:pPr>
      <w:tabs>
        <w:tab w:val="left" w:pos="340"/>
      </w:tabs>
      <w:spacing w:before="60" w:after="60"/>
      <w:ind w:left="340" w:hanging="340"/>
    </w:pPr>
  </w:style>
  <w:style w:type="paragraph" w:customStyle="1" w:styleId="Note">
    <w:name w:val="Note"/>
    <w:basedOn w:val="BodyText"/>
    <w:rsid w:val="00FD6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62E"/>
    <w:pPr>
      <w:framePr w:wrap="auto" w:hAnchor="text" w:y="6049"/>
    </w:pPr>
    <w:rPr>
      <w:color w:val="000000"/>
      <w:sz w:val="40"/>
    </w:rPr>
  </w:style>
  <w:style w:type="paragraph" w:customStyle="1" w:styleId="TOCTitle">
    <w:name w:val="TOCTitle"/>
    <w:basedOn w:val="Heading1"/>
    <w:rsid w:val="00FD662E"/>
    <w:pPr>
      <w:spacing w:after="240"/>
      <w:jc w:val="center"/>
      <w:outlineLvl w:val="9"/>
    </w:pPr>
    <w:rPr>
      <w:caps/>
    </w:rPr>
  </w:style>
  <w:style w:type="paragraph" w:customStyle="1" w:styleId="Version">
    <w:name w:val="Version"/>
    <w:rsid w:val="00FD6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62E"/>
    <w:pPr>
      <w:numPr>
        <w:numId w:val="12"/>
      </w:numPr>
      <w:tabs>
        <w:tab w:val="clear" w:pos="680"/>
      </w:tabs>
    </w:pPr>
  </w:style>
  <w:style w:type="paragraph" w:styleId="Index1">
    <w:name w:val="index 1"/>
    <w:basedOn w:val="Normal"/>
    <w:next w:val="Normal"/>
    <w:semiHidden/>
    <w:rsid w:val="00FD662E"/>
    <w:pPr>
      <w:keepNext w:val="0"/>
      <w:tabs>
        <w:tab w:val="right" w:pos="4176"/>
      </w:tabs>
      <w:ind w:left="198" w:hanging="198"/>
    </w:pPr>
    <w:rPr>
      <w:rFonts w:ascii="Garamond" w:hAnsi="Garamond"/>
    </w:rPr>
  </w:style>
  <w:style w:type="paragraph" w:styleId="IndexHeading">
    <w:name w:val="index heading"/>
    <w:basedOn w:val="Normal"/>
    <w:next w:val="Index1"/>
    <w:semiHidden/>
    <w:rsid w:val="00FD662E"/>
    <w:pPr>
      <w:spacing w:before="120" w:after="120"/>
    </w:pPr>
    <w:rPr>
      <w:rFonts w:ascii="Arial" w:hAnsi="Arial"/>
      <w:b/>
      <w:color w:val="918585"/>
      <w:sz w:val="24"/>
    </w:rPr>
  </w:style>
  <w:style w:type="paragraph" w:styleId="Header">
    <w:name w:val="header"/>
    <w:basedOn w:val="Normal"/>
    <w:link w:val="HeaderChar"/>
    <w:rsid w:val="00FD6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62E"/>
    <w:rPr>
      <w:rFonts w:ascii="Times New Roman" w:eastAsia="Times New Roman" w:hAnsi="Times New Roman" w:cs="Times New Roman"/>
      <w:sz w:val="16"/>
      <w:szCs w:val="20"/>
      <w:lang w:val="en-GB" w:eastAsia="en-US"/>
    </w:rPr>
  </w:style>
  <w:style w:type="paragraph" w:customStyle="1" w:styleId="Chapter">
    <w:name w:val="Chapter"/>
    <w:basedOn w:val="Normal"/>
    <w:rsid w:val="00FD662E"/>
    <w:pPr>
      <w:spacing w:before="240"/>
    </w:pPr>
    <w:rPr>
      <w:rFonts w:ascii="Times New Roman" w:hAnsi="Times New Roman"/>
      <w:smallCaps/>
      <w:spacing w:val="80"/>
      <w:sz w:val="28"/>
    </w:rPr>
  </w:style>
  <w:style w:type="paragraph" w:customStyle="1" w:styleId="InChapter">
    <w:name w:val="InChapter"/>
    <w:basedOn w:val="Heading3"/>
    <w:rsid w:val="00FD662E"/>
    <w:pPr>
      <w:spacing w:after="240"/>
      <w:outlineLvl w:val="9"/>
    </w:pPr>
    <w:rPr>
      <w:noProof/>
    </w:rPr>
  </w:style>
  <w:style w:type="paragraph" w:styleId="Index2">
    <w:name w:val="index 2"/>
    <w:basedOn w:val="Normal"/>
    <w:next w:val="Normal"/>
    <w:semiHidden/>
    <w:rsid w:val="00FD662E"/>
    <w:pPr>
      <w:tabs>
        <w:tab w:val="right" w:pos="4176"/>
      </w:tabs>
      <w:ind w:left="568" w:hanging="284"/>
    </w:pPr>
    <w:rPr>
      <w:rFonts w:ascii="Garamond" w:hAnsi="Garamond"/>
    </w:rPr>
  </w:style>
  <w:style w:type="paragraph" w:customStyle="1" w:styleId="Byline">
    <w:name w:val="Byline"/>
    <w:rsid w:val="00FD6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62E"/>
    <w:pPr>
      <w:tabs>
        <w:tab w:val="clear" w:pos="3600"/>
        <w:tab w:val="clear" w:pos="3958"/>
      </w:tabs>
      <w:jc w:val="right"/>
    </w:pPr>
  </w:style>
  <w:style w:type="character" w:styleId="Emphasis">
    <w:name w:val="Emphasis"/>
    <w:basedOn w:val="DefaultParagraphFont"/>
    <w:qFormat/>
    <w:rsid w:val="00FD662E"/>
    <w:rPr>
      <w:i/>
    </w:rPr>
  </w:style>
  <w:style w:type="paragraph" w:styleId="Caption">
    <w:name w:val="caption"/>
    <w:basedOn w:val="BodyText"/>
    <w:next w:val="Normal"/>
    <w:qFormat/>
    <w:rsid w:val="00FD662E"/>
    <w:pPr>
      <w:framePr w:w="2268" w:hSpace="181" w:vSpace="181" w:wrap="around" w:vAnchor="text" w:hAnchor="page" w:x="1135" w:y="285" w:anchorLock="1"/>
    </w:pPr>
    <w:rPr>
      <w:i/>
    </w:rPr>
  </w:style>
  <w:style w:type="paragraph" w:customStyle="1" w:styleId="MiniTOCTitle">
    <w:name w:val="MiniTOCTitle"/>
    <w:basedOn w:val="Heading4"/>
    <w:rsid w:val="00FD662E"/>
    <w:pPr>
      <w:spacing w:before="240"/>
      <w:outlineLvl w:val="9"/>
    </w:pPr>
    <w:rPr>
      <w:noProof/>
      <w:sz w:val="24"/>
    </w:rPr>
  </w:style>
  <w:style w:type="paragraph" w:customStyle="1" w:styleId="MiniTOCItem">
    <w:name w:val="MiniTOCItem"/>
    <w:basedOn w:val="ListBullet"/>
    <w:rsid w:val="00FD662E"/>
    <w:pPr>
      <w:numPr>
        <w:numId w:val="0"/>
      </w:numPr>
      <w:tabs>
        <w:tab w:val="right" w:leader="dot" w:pos="6521"/>
      </w:tabs>
      <w:spacing w:before="0" w:after="0"/>
    </w:pPr>
  </w:style>
  <w:style w:type="paragraph" w:customStyle="1" w:styleId="TOFTitle">
    <w:name w:val="TOFTitle"/>
    <w:basedOn w:val="TOCTitle"/>
    <w:rsid w:val="00FD662E"/>
  </w:style>
  <w:style w:type="paragraph" w:styleId="TableofFigures">
    <w:name w:val="table of figures"/>
    <w:basedOn w:val="Normal"/>
    <w:next w:val="Normal"/>
    <w:semiHidden/>
    <w:rsid w:val="00FD662E"/>
    <w:pPr>
      <w:tabs>
        <w:tab w:val="right" w:leader="dot" w:pos="9072"/>
      </w:tabs>
      <w:ind w:left="970" w:hanging="403"/>
    </w:pPr>
    <w:rPr>
      <w:rFonts w:ascii="Times New Roman" w:hAnsi="Times New Roman"/>
      <w:b/>
    </w:rPr>
  </w:style>
  <w:style w:type="paragraph" w:styleId="ListNumber">
    <w:name w:val="List Number"/>
    <w:basedOn w:val="List"/>
    <w:rsid w:val="00FD662E"/>
    <w:pPr>
      <w:numPr>
        <w:numId w:val="14"/>
      </w:numPr>
      <w:tabs>
        <w:tab w:val="clear" w:pos="340"/>
      </w:tabs>
    </w:pPr>
  </w:style>
  <w:style w:type="character" w:customStyle="1" w:styleId="WingdingSymbols">
    <w:name w:val="Wingding Symbols"/>
    <w:rsid w:val="00FD662E"/>
    <w:rPr>
      <w:rFonts w:ascii="Wingdings" w:hAnsi="Wingdings"/>
    </w:rPr>
  </w:style>
  <w:style w:type="paragraph" w:customStyle="1" w:styleId="TableHeading">
    <w:name w:val="Table Heading"/>
    <w:basedOn w:val="HeadingBase"/>
    <w:rsid w:val="00FD662E"/>
    <w:pPr>
      <w:keepLines/>
      <w:pBdr>
        <w:bottom w:val="single" w:sz="6" w:space="1" w:color="918585"/>
      </w:pBdr>
      <w:spacing w:before="240"/>
    </w:pPr>
  </w:style>
  <w:style w:type="character" w:customStyle="1" w:styleId="HotSpot">
    <w:name w:val="HotSpot"/>
    <w:rsid w:val="00FD662E"/>
    <w:rPr>
      <w:color w:val="0033CC"/>
      <w:u w:val="none"/>
    </w:rPr>
  </w:style>
  <w:style w:type="paragraph" w:customStyle="1" w:styleId="BodyTextRight">
    <w:name w:val="Body Text Right"/>
    <w:basedOn w:val="BodyText"/>
    <w:rsid w:val="00FD662E"/>
    <w:pPr>
      <w:spacing w:before="0" w:after="0"/>
      <w:jc w:val="right"/>
    </w:pPr>
  </w:style>
  <w:style w:type="paragraph" w:styleId="Index3">
    <w:name w:val="index 3"/>
    <w:basedOn w:val="ListNumber2"/>
    <w:next w:val="Normal"/>
    <w:semiHidden/>
    <w:rsid w:val="00FD662E"/>
    <w:pPr>
      <w:numPr>
        <w:numId w:val="0"/>
      </w:numPr>
      <w:tabs>
        <w:tab w:val="right" w:leader="dot" w:pos="4176"/>
      </w:tabs>
    </w:pPr>
  </w:style>
  <w:style w:type="paragraph" w:styleId="ListNumber2">
    <w:name w:val="List Number 2"/>
    <w:basedOn w:val="List2"/>
    <w:rsid w:val="00FD662E"/>
    <w:pPr>
      <w:numPr>
        <w:numId w:val="9"/>
      </w:numPr>
      <w:tabs>
        <w:tab w:val="clear" w:pos="1060"/>
      </w:tabs>
    </w:pPr>
  </w:style>
  <w:style w:type="paragraph" w:customStyle="1" w:styleId="MarginNote">
    <w:name w:val="Margin Note"/>
    <w:basedOn w:val="BodyText"/>
    <w:rsid w:val="00FD6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62E"/>
    <w:rPr>
      <w:sz w:val="32"/>
    </w:rPr>
  </w:style>
  <w:style w:type="paragraph" w:customStyle="1" w:styleId="HeadingProcedure">
    <w:name w:val="Heading Procedure"/>
    <w:basedOn w:val="HeadingBase"/>
    <w:next w:val="Normal"/>
    <w:rsid w:val="00FD662E"/>
    <w:pPr>
      <w:tabs>
        <w:tab w:val="left" w:pos="0"/>
      </w:tabs>
      <w:spacing w:before="120" w:after="60"/>
    </w:pPr>
    <w:rPr>
      <w:i/>
      <w:color w:val="918585"/>
      <w:sz w:val="22"/>
    </w:rPr>
  </w:style>
  <w:style w:type="paragraph" w:customStyle="1" w:styleId="TableBodyText">
    <w:name w:val="Table Body Text"/>
    <w:basedOn w:val="BodyText"/>
    <w:rsid w:val="00FD662E"/>
    <w:pPr>
      <w:spacing w:before="60" w:after="60"/>
    </w:pPr>
  </w:style>
  <w:style w:type="paragraph" w:styleId="ListContinue">
    <w:name w:val="List Continue"/>
    <w:basedOn w:val="List"/>
    <w:rsid w:val="00FD662E"/>
    <w:pPr>
      <w:ind w:firstLine="0"/>
    </w:pPr>
  </w:style>
  <w:style w:type="paragraph" w:customStyle="1" w:styleId="ListNote">
    <w:name w:val="List Note"/>
    <w:basedOn w:val="List"/>
    <w:rsid w:val="00FD662E"/>
    <w:pPr>
      <w:pBdr>
        <w:top w:val="single" w:sz="6" w:space="2" w:color="918585"/>
        <w:bottom w:val="single" w:sz="6" w:space="2" w:color="918585"/>
      </w:pBdr>
      <w:tabs>
        <w:tab w:val="left" w:pos="1021"/>
      </w:tabs>
      <w:ind w:firstLine="0"/>
    </w:pPr>
  </w:style>
  <w:style w:type="paragraph" w:customStyle="1" w:styleId="Warning">
    <w:name w:val="Warning"/>
    <w:basedOn w:val="BodyText"/>
    <w:rsid w:val="00FD662E"/>
    <w:pPr>
      <w:shd w:val="clear" w:color="auto" w:fill="D9D9D9"/>
      <w:tabs>
        <w:tab w:val="left" w:pos="992"/>
      </w:tabs>
      <w:ind w:left="119" w:right="119"/>
    </w:pPr>
    <w:rPr>
      <w:sz w:val="20"/>
    </w:rPr>
  </w:style>
  <w:style w:type="paragraph" w:customStyle="1" w:styleId="MarginIcons">
    <w:name w:val="Margin Icons"/>
    <w:basedOn w:val="BodyText"/>
    <w:rsid w:val="00FD6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62E"/>
    <w:rPr>
      <w:rFonts w:ascii="Courier New" w:hAnsi="Courier New"/>
    </w:rPr>
  </w:style>
  <w:style w:type="paragraph" w:customStyle="1" w:styleId="NoteBullet">
    <w:name w:val="Note Bullet"/>
    <w:basedOn w:val="Note"/>
    <w:rsid w:val="00FD662E"/>
    <w:pPr>
      <w:tabs>
        <w:tab w:val="clear" w:pos="680"/>
      </w:tabs>
      <w:spacing w:before="60" w:after="60"/>
    </w:pPr>
  </w:style>
  <w:style w:type="paragraph" w:customStyle="1" w:styleId="SubHeading2">
    <w:name w:val="SubHeading2"/>
    <w:basedOn w:val="HeadingBase"/>
    <w:rsid w:val="00FD662E"/>
    <w:pPr>
      <w:spacing w:before="240" w:after="60"/>
    </w:pPr>
    <w:rPr>
      <w:sz w:val="20"/>
    </w:rPr>
  </w:style>
  <w:style w:type="paragraph" w:customStyle="1" w:styleId="SubHeading1">
    <w:name w:val="SubHeading1"/>
    <w:basedOn w:val="HeadingBase"/>
    <w:rsid w:val="00FD662E"/>
    <w:pPr>
      <w:spacing w:before="240" w:after="60"/>
    </w:pPr>
    <w:rPr>
      <w:color w:val="918585"/>
      <w:sz w:val="22"/>
    </w:rPr>
  </w:style>
  <w:style w:type="paragraph" w:customStyle="1" w:styleId="SideHeading">
    <w:name w:val="Side Heading"/>
    <w:basedOn w:val="HeadingBase"/>
    <w:rsid w:val="00FD6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62E"/>
    <w:pPr>
      <w:numPr>
        <w:numId w:val="10"/>
      </w:numPr>
    </w:pPr>
  </w:style>
  <w:style w:type="paragraph" w:styleId="PlainText">
    <w:name w:val="Plain Text"/>
    <w:basedOn w:val="Normal"/>
    <w:link w:val="PlainTextChar"/>
    <w:rsid w:val="00FD662E"/>
    <w:rPr>
      <w:sz w:val="20"/>
    </w:rPr>
  </w:style>
  <w:style w:type="character" w:customStyle="1" w:styleId="PlainTextChar">
    <w:name w:val="Plain Text Char"/>
    <w:basedOn w:val="DefaultParagraphFont"/>
    <w:link w:val="PlainText"/>
    <w:rsid w:val="00FD662E"/>
    <w:rPr>
      <w:rFonts w:ascii="Courier New" w:eastAsia="Times New Roman" w:hAnsi="Courier New" w:cs="Times New Roman"/>
      <w:sz w:val="20"/>
      <w:szCs w:val="20"/>
      <w:lang w:eastAsia="en-US"/>
    </w:rPr>
  </w:style>
  <w:style w:type="character" w:customStyle="1" w:styleId="MenuOption">
    <w:name w:val="Menu Option"/>
    <w:basedOn w:val="DefaultParagraphFont"/>
    <w:rsid w:val="00FD662E"/>
    <w:rPr>
      <w:b/>
      <w:smallCaps/>
    </w:rPr>
  </w:style>
  <w:style w:type="paragraph" w:customStyle="1" w:styleId="TableListNumber">
    <w:name w:val="Table List Number"/>
    <w:basedOn w:val="ListNumber"/>
    <w:rsid w:val="00FD662E"/>
    <w:pPr>
      <w:numPr>
        <w:numId w:val="0"/>
      </w:numPr>
    </w:pPr>
  </w:style>
  <w:style w:type="paragraph" w:styleId="TOC4">
    <w:name w:val="toc 4"/>
    <w:basedOn w:val="TOCBase"/>
    <w:next w:val="Normal"/>
    <w:semiHidden/>
    <w:rsid w:val="00FD662E"/>
    <w:pPr>
      <w:tabs>
        <w:tab w:val="right" w:leader="dot" w:pos="9071"/>
      </w:tabs>
      <w:ind w:left="1701"/>
    </w:pPr>
  </w:style>
  <w:style w:type="paragraph" w:customStyle="1" w:styleId="ListAlpha">
    <w:name w:val="List Alpha"/>
    <w:basedOn w:val="List"/>
    <w:rsid w:val="00FD662E"/>
    <w:pPr>
      <w:numPr>
        <w:numId w:val="8"/>
      </w:numPr>
    </w:pPr>
  </w:style>
  <w:style w:type="paragraph" w:customStyle="1" w:styleId="ListAlpha2">
    <w:name w:val="List Alpha 2"/>
    <w:basedOn w:val="List2"/>
    <w:rsid w:val="00FD662E"/>
    <w:pPr>
      <w:numPr>
        <w:numId w:val="7"/>
      </w:numPr>
    </w:pPr>
  </w:style>
  <w:style w:type="paragraph" w:styleId="List2">
    <w:name w:val="List 2"/>
    <w:basedOn w:val="BodyText"/>
    <w:rsid w:val="00FD662E"/>
    <w:pPr>
      <w:tabs>
        <w:tab w:val="left" w:pos="680"/>
      </w:tabs>
      <w:spacing w:before="60" w:after="60"/>
      <w:ind w:left="680" w:hanging="340"/>
    </w:pPr>
  </w:style>
  <w:style w:type="paragraph" w:styleId="List3">
    <w:name w:val="List 3"/>
    <w:basedOn w:val="BodyText"/>
    <w:rsid w:val="00FD662E"/>
    <w:pPr>
      <w:tabs>
        <w:tab w:val="left" w:pos="1021"/>
      </w:tabs>
      <w:spacing w:before="60" w:after="60"/>
      <w:ind w:left="1020" w:hanging="340"/>
    </w:pPr>
  </w:style>
  <w:style w:type="paragraph" w:styleId="List4">
    <w:name w:val="List 4"/>
    <w:basedOn w:val="BodyText"/>
    <w:rsid w:val="00FD662E"/>
    <w:pPr>
      <w:tabs>
        <w:tab w:val="left" w:pos="1361"/>
      </w:tabs>
      <w:spacing w:before="60" w:after="60"/>
      <w:ind w:left="1361" w:hanging="340"/>
    </w:pPr>
  </w:style>
  <w:style w:type="paragraph" w:styleId="List5">
    <w:name w:val="List 5"/>
    <w:basedOn w:val="BodyText"/>
    <w:rsid w:val="00FD662E"/>
    <w:pPr>
      <w:tabs>
        <w:tab w:val="left" w:pos="1701"/>
      </w:tabs>
      <w:spacing w:before="60" w:after="60"/>
      <w:ind w:left="1701" w:hanging="340"/>
    </w:pPr>
  </w:style>
  <w:style w:type="paragraph" w:styleId="ListBullet3">
    <w:name w:val="List Bullet 3"/>
    <w:basedOn w:val="List3"/>
    <w:rsid w:val="00FD662E"/>
    <w:pPr>
      <w:numPr>
        <w:numId w:val="13"/>
      </w:numPr>
      <w:tabs>
        <w:tab w:val="clear" w:pos="1021"/>
      </w:tabs>
      <w:ind w:left="1037" w:hanging="357"/>
    </w:pPr>
  </w:style>
  <w:style w:type="paragraph" w:styleId="ListBullet4">
    <w:name w:val="List Bullet 4"/>
    <w:basedOn w:val="List4"/>
    <w:rsid w:val="00FD662E"/>
    <w:pPr>
      <w:numPr>
        <w:numId w:val="2"/>
      </w:numPr>
      <w:tabs>
        <w:tab w:val="clear" w:pos="1361"/>
      </w:tabs>
    </w:pPr>
  </w:style>
  <w:style w:type="paragraph" w:styleId="ListBullet5">
    <w:name w:val="List Bullet 5"/>
    <w:basedOn w:val="List5"/>
    <w:rsid w:val="00FD662E"/>
    <w:pPr>
      <w:numPr>
        <w:numId w:val="3"/>
      </w:numPr>
    </w:pPr>
  </w:style>
  <w:style w:type="paragraph" w:styleId="ListContinue2">
    <w:name w:val="List Continue 2"/>
    <w:basedOn w:val="List2"/>
    <w:rsid w:val="00FD662E"/>
    <w:pPr>
      <w:ind w:firstLine="0"/>
    </w:pPr>
  </w:style>
  <w:style w:type="paragraph" w:styleId="ListContinue3">
    <w:name w:val="List Continue 3"/>
    <w:basedOn w:val="List3"/>
    <w:rsid w:val="00FD662E"/>
    <w:pPr>
      <w:ind w:left="1021" w:firstLine="0"/>
    </w:pPr>
  </w:style>
  <w:style w:type="paragraph" w:styleId="ListContinue4">
    <w:name w:val="List Continue 4"/>
    <w:basedOn w:val="List4"/>
    <w:rsid w:val="00FD662E"/>
    <w:pPr>
      <w:ind w:firstLine="0"/>
    </w:pPr>
  </w:style>
  <w:style w:type="paragraph" w:styleId="ListContinue5">
    <w:name w:val="List Continue 5"/>
    <w:basedOn w:val="List5"/>
    <w:rsid w:val="00FD662E"/>
    <w:pPr>
      <w:ind w:firstLine="0"/>
    </w:pPr>
  </w:style>
  <w:style w:type="paragraph" w:styleId="ListNumber3">
    <w:name w:val="List Number 3"/>
    <w:basedOn w:val="List3"/>
    <w:rsid w:val="00FD662E"/>
    <w:pPr>
      <w:numPr>
        <w:numId w:val="4"/>
      </w:numPr>
    </w:pPr>
  </w:style>
  <w:style w:type="paragraph" w:styleId="ListNumber4">
    <w:name w:val="List Number 4"/>
    <w:basedOn w:val="List4"/>
    <w:rsid w:val="00FD662E"/>
    <w:pPr>
      <w:numPr>
        <w:numId w:val="5"/>
      </w:numPr>
    </w:pPr>
  </w:style>
  <w:style w:type="paragraph" w:styleId="ListNumber5">
    <w:name w:val="List Number 5"/>
    <w:basedOn w:val="List5"/>
    <w:rsid w:val="00FD662E"/>
    <w:pPr>
      <w:numPr>
        <w:numId w:val="6"/>
      </w:numPr>
    </w:pPr>
  </w:style>
  <w:style w:type="paragraph" w:styleId="BlockText">
    <w:name w:val="Block Text"/>
    <w:basedOn w:val="Normal"/>
    <w:rsid w:val="00FD662E"/>
    <w:pPr>
      <w:spacing w:after="120"/>
      <w:ind w:left="1440" w:right="1440"/>
    </w:pPr>
  </w:style>
  <w:style w:type="character" w:customStyle="1" w:styleId="Subscript">
    <w:name w:val="Subscript"/>
    <w:basedOn w:val="DefaultParagraphFont"/>
    <w:rsid w:val="00FD662E"/>
    <w:rPr>
      <w:sz w:val="16"/>
      <w:vertAlign w:val="subscript"/>
    </w:rPr>
  </w:style>
  <w:style w:type="character" w:customStyle="1" w:styleId="Superscript">
    <w:name w:val="Superscript"/>
    <w:basedOn w:val="DefaultParagraphFont"/>
    <w:rsid w:val="00FD662E"/>
    <w:rPr>
      <w:sz w:val="16"/>
      <w:vertAlign w:val="superscript"/>
    </w:rPr>
  </w:style>
  <w:style w:type="character" w:customStyle="1" w:styleId="Symbols">
    <w:name w:val="Symbols"/>
    <w:basedOn w:val="DefaultParagraphFont"/>
    <w:rsid w:val="00FD662E"/>
    <w:rPr>
      <w:rFonts w:ascii="Symbol" w:hAnsi="Symbol"/>
    </w:rPr>
  </w:style>
  <w:style w:type="character" w:customStyle="1" w:styleId="MenuOptions">
    <w:name w:val="Menu Options"/>
    <w:basedOn w:val="DefaultParagraphFont"/>
    <w:rsid w:val="00FD662E"/>
    <w:rPr>
      <w:rFonts w:ascii="Arial Narrow" w:hAnsi="Arial Narrow"/>
      <w:smallCaps/>
    </w:rPr>
  </w:style>
  <w:style w:type="character" w:customStyle="1" w:styleId="Buttons">
    <w:name w:val="Buttons"/>
    <w:basedOn w:val="DefaultParagraphFont"/>
    <w:rsid w:val="00FD662E"/>
    <w:rPr>
      <w:b/>
    </w:rPr>
  </w:style>
  <w:style w:type="character" w:customStyle="1" w:styleId="Underlined">
    <w:name w:val="Underlined"/>
    <w:basedOn w:val="DefaultParagraphFont"/>
    <w:rsid w:val="00FD662E"/>
    <w:rPr>
      <w:u w:val="single"/>
    </w:rPr>
  </w:style>
  <w:style w:type="paragraph" w:customStyle="1" w:styleId="TableBodyTextRight">
    <w:name w:val="Table Body Text Right"/>
    <w:basedOn w:val="TableBodyText"/>
    <w:rsid w:val="00FD662E"/>
    <w:pPr>
      <w:widowControl w:val="0"/>
      <w:autoSpaceDE w:val="0"/>
      <w:autoSpaceDN w:val="0"/>
      <w:adjustRightInd w:val="0"/>
      <w:jc w:val="right"/>
    </w:pPr>
    <w:rPr>
      <w:rFonts w:cs="Arial"/>
      <w:szCs w:val="18"/>
    </w:rPr>
  </w:style>
  <w:style w:type="paragraph" w:customStyle="1" w:styleId="CopyrightText">
    <w:name w:val="Copyright Text"/>
    <w:basedOn w:val="BodyText"/>
    <w:rsid w:val="00FD662E"/>
    <w:rPr>
      <w:sz w:val="18"/>
    </w:rPr>
  </w:style>
  <w:style w:type="paragraph" w:customStyle="1" w:styleId="BodySmallRight">
    <w:name w:val="Body Small Right"/>
    <w:basedOn w:val="BodyTextRight"/>
    <w:rsid w:val="00FD662E"/>
    <w:rPr>
      <w:sz w:val="18"/>
      <w:szCs w:val="18"/>
    </w:rPr>
  </w:style>
  <w:style w:type="paragraph" w:customStyle="1" w:styleId="MarginEdition">
    <w:name w:val="Margin Edition"/>
    <w:basedOn w:val="MarginNote"/>
    <w:rsid w:val="00FD662E"/>
    <w:pPr>
      <w:spacing w:before="0" w:after="0"/>
    </w:pPr>
    <w:rPr>
      <w:rFonts w:ascii="Times New Roman" w:hAnsi="Times New Roman"/>
      <w:color w:val="999999"/>
    </w:rPr>
  </w:style>
  <w:style w:type="paragraph" w:customStyle="1" w:styleId="Spacer">
    <w:name w:val="Spacer"/>
    <w:basedOn w:val="Normal"/>
    <w:rsid w:val="00FD662E"/>
    <w:rPr>
      <w:sz w:val="2"/>
      <w:szCs w:val="2"/>
    </w:rPr>
  </w:style>
  <w:style w:type="character" w:customStyle="1" w:styleId="Small">
    <w:name w:val="Small"/>
    <w:basedOn w:val="DefaultParagraphFont"/>
    <w:rsid w:val="00FD662E"/>
    <w:rPr>
      <w:sz w:val="16"/>
    </w:rPr>
  </w:style>
  <w:style w:type="paragraph" w:customStyle="1" w:styleId="WideTable">
    <w:name w:val="Wide Table"/>
    <w:basedOn w:val="Normal"/>
    <w:rsid w:val="00FD662E"/>
    <w:pPr>
      <w:ind w:left="-1418"/>
    </w:pPr>
    <w:rPr>
      <w:sz w:val="2"/>
      <w:szCs w:val="2"/>
    </w:rPr>
  </w:style>
  <w:style w:type="character" w:styleId="PageNumber">
    <w:name w:val="page number"/>
    <w:basedOn w:val="DefaultParagraphFont"/>
    <w:rsid w:val="00FD662E"/>
  </w:style>
  <w:style w:type="paragraph" w:styleId="Quote">
    <w:name w:val="Quote"/>
    <w:basedOn w:val="Heading1"/>
    <w:link w:val="QuoteChar"/>
    <w:qFormat/>
    <w:rsid w:val="00FD662E"/>
    <w:rPr>
      <w:b w:val="0"/>
      <w:sz w:val="72"/>
      <w:szCs w:val="72"/>
      <w:lang w:val="en-NZ"/>
    </w:rPr>
  </w:style>
  <w:style w:type="character" w:customStyle="1" w:styleId="QuoteChar">
    <w:name w:val="Quote Char"/>
    <w:basedOn w:val="DefaultParagraphFont"/>
    <w:link w:val="Quote"/>
    <w:rsid w:val="00FD6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62E"/>
    <w:pPr>
      <w:pageBreakBefore/>
    </w:pPr>
  </w:style>
  <w:style w:type="paragraph" w:customStyle="1" w:styleId="Border">
    <w:name w:val="Border"/>
    <w:basedOn w:val="Normal"/>
    <w:qFormat/>
    <w:rsid w:val="00FD6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62E"/>
    <w:rPr>
      <w:b/>
      <w:bCs/>
      <w:i/>
      <w:iCs/>
      <w:color w:val="auto"/>
    </w:rPr>
  </w:style>
  <w:style w:type="paragraph" w:styleId="IntenseQuote">
    <w:name w:val="Intense Quote"/>
    <w:basedOn w:val="Normal"/>
    <w:next w:val="Normal"/>
    <w:link w:val="IntenseQuoteChar"/>
    <w:uiPriority w:val="30"/>
    <w:qFormat/>
    <w:rsid w:val="00FD6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62E"/>
    <w:rPr>
      <w:smallCaps/>
      <w:color w:val="auto"/>
      <w:u w:val="single"/>
    </w:rPr>
  </w:style>
  <w:style w:type="character" w:styleId="IntenseReference">
    <w:name w:val="Intense Reference"/>
    <w:basedOn w:val="DefaultParagraphFont"/>
    <w:uiPriority w:val="32"/>
    <w:qFormat/>
    <w:rsid w:val="00FD662E"/>
    <w:rPr>
      <w:b/>
      <w:bCs/>
      <w:smallCaps/>
      <w:color w:val="auto"/>
      <w:spacing w:val="5"/>
      <w:u w:val="single"/>
    </w:rPr>
  </w:style>
  <w:style w:type="paragraph" w:customStyle="1" w:styleId="2ColumnHeading">
    <w:name w:val="2Column Heading"/>
    <w:basedOn w:val="BodyText"/>
    <w:qFormat/>
    <w:rsid w:val="00FD662E"/>
    <w:pPr>
      <w:spacing w:after="60"/>
      <w:ind w:left="-2268"/>
    </w:pPr>
    <w:rPr>
      <w:b/>
    </w:rPr>
  </w:style>
  <w:style w:type="paragraph" w:customStyle="1" w:styleId="Heading1TOC">
    <w:name w:val="Heading1 TOC"/>
    <w:basedOn w:val="Normal"/>
    <w:qFormat/>
    <w:rsid w:val="00FD662E"/>
    <w:pPr>
      <w:spacing w:before="240" w:after="120"/>
    </w:pPr>
    <w:rPr>
      <w:rFonts w:ascii="Times New Roman" w:hAnsi="Times New Roman"/>
      <w:b/>
      <w:sz w:val="32"/>
    </w:rPr>
  </w:style>
  <w:style w:type="paragraph" w:customStyle="1" w:styleId="Heading2TOC">
    <w:name w:val="Heading2 TOC"/>
    <w:basedOn w:val="Normal"/>
    <w:qFormat/>
    <w:rsid w:val="00FD662E"/>
    <w:pPr>
      <w:spacing w:before="240" w:after="60"/>
    </w:pPr>
    <w:rPr>
      <w:rFonts w:ascii="Times New Roman" w:hAnsi="Times New Roman"/>
      <w:b/>
      <w:sz w:val="28"/>
    </w:rPr>
  </w:style>
  <w:style w:type="character" w:customStyle="1" w:styleId="Underline">
    <w:name w:val="Underline"/>
    <w:basedOn w:val="DefaultParagraphFont"/>
    <w:qFormat/>
    <w:rsid w:val="00FD662E"/>
    <w:rPr>
      <w:u w:val="single"/>
    </w:rPr>
  </w:style>
  <w:style w:type="character" w:customStyle="1" w:styleId="BoldandItalics">
    <w:name w:val="Bold and Italics"/>
    <w:qFormat/>
    <w:rsid w:val="00FD662E"/>
    <w:rPr>
      <w:b/>
      <w:i/>
      <w:u w:val="none"/>
    </w:rPr>
  </w:style>
  <w:style w:type="paragraph" w:styleId="BalloonText">
    <w:name w:val="Balloon Text"/>
    <w:basedOn w:val="Normal"/>
    <w:link w:val="BalloonTextChar"/>
    <w:rsid w:val="00FD662E"/>
    <w:rPr>
      <w:rFonts w:ascii="Tahoma" w:hAnsi="Tahoma" w:cs="Tahoma"/>
      <w:sz w:val="16"/>
      <w:szCs w:val="16"/>
    </w:rPr>
  </w:style>
  <w:style w:type="character" w:customStyle="1" w:styleId="BalloonTextChar">
    <w:name w:val="Balloon Text Char"/>
    <w:basedOn w:val="DefaultParagraphFont"/>
    <w:link w:val="BalloonText"/>
    <w:rsid w:val="00FD6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62E"/>
    <w:rPr>
      <w:b/>
      <w:color w:val="660033"/>
      <w:spacing w:val="0"/>
    </w:rPr>
  </w:style>
  <w:style w:type="paragraph" w:customStyle="1" w:styleId="Nameditemlist">
    <w:name w:val="Named item list"/>
    <w:basedOn w:val="BodyText"/>
    <w:qFormat/>
    <w:rsid w:val="00FD662E"/>
    <w:pPr>
      <w:tabs>
        <w:tab w:val="left" w:pos="2835"/>
      </w:tabs>
      <w:ind w:left="2835" w:hanging="2835"/>
    </w:pPr>
  </w:style>
  <w:style w:type="paragraph" w:customStyle="1" w:styleId="BodyTextnopadding">
    <w:name w:val="Body Text no padding"/>
    <w:basedOn w:val="BodyText"/>
    <w:qFormat/>
    <w:rsid w:val="00FD662E"/>
    <w:pPr>
      <w:spacing w:before="0" w:after="0"/>
    </w:pPr>
  </w:style>
  <w:style w:type="paragraph" w:customStyle="1" w:styleId="BodyTextBold">
    <w:name w:val="Body Text Bold"/>
    <w:basedOn w:val="BodyText"/>
    <w:qFormat/>
    <w:rsid w:val="00FD662E"/>
    <w:rPr>
      <w:b/>
    </w:rPr>
  </w:style>
  <w:style w:type="character" w:styleId="Hyperlink">
    <w:name w:val="Hyperlink"/>
    <w:basedOn w:val="DefaultParagraphFont"/>
    <w:uiPriority w:val="99"/>
    <w:unhideWhenUsed/>
    <w:rsid w:val="00E61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2499</Characters>
  <Application>Microsoft Office Word</Application>
  <DocSecurity>0</DocSecurity>
  <Lines>60</Lines>
  <Paragraphs>38</Paragraphs>
  <ScaleCrop>false</ScaleCrop>
  <Company>Author-it Software Corporation Ltd.</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TLIX0047 Review decisions of regulatory bodies</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