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ED9" w:rsidP="007B7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TLIX0046 Apply anti-dumping and countervailing measures</w:t>
      </w:r>
      <w:r>
        <w:fldChar w:fldCharType="end"/>
      </w:r>
    </w:p>
    <w:p w:rsidR="007B7ED9" w:rsidP="007B7ED9">
      <w:pPr>
        <w:pStyle w:val="Version"/>
        <w:sectPr w:rsidSect="00E82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4FB" w:rsidP="00E824FB">
      <w:pPr>
        <w:pStyle w:val="SuperHeading"/>
      </w:pPr>
      <w:r w:rsidRPr="00E824FB">
        <w:t>TLIX0046 Apply anti-dumping and countervailing measures</w:t>
      </w:r>
    </w:p>
    <w:p w:rsidR="00000000" w:rsidRPr="00E824FB" w:rsidP="00E824FB">
      <w:pPr>
        <w:pStyle w:val="Heading1"/>
      </w:pPr>
      <w:bookmarkStart w:id="1" w:name="O_1232772"/>
      <w:bookmarkEnd w:id="1"/>
      <w:r w:rsidRPr="00E824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Release 1</w:t>
            </w:r>
            <w:r w:rsidRPr="00E824FB">
              <w:t>. This is the first release of this unit of competency in the TLI Transport and Logistics Training Package.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2" w:name="O_1232773"/>
      <w:bookmarkEnd w:id="2"/>
      <w:r w:rsidRPr="00E824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This unit involves the skills and knowledge required to identify g</w:t>
            </w:r>
            <w:r w:rsidRPr="00E824FB">
              <w:t>oods subject to dumping and/or countervailing measures, and to calculate applicable duties.</w:t>
            </w:r>
          </w:p>
          <w:p w:rsidR="00000000" w:rsidRPr="00E824FB" w:rsidP="00E824FB">
            <w:pPr>
              <w:pStyle w:val="BodyText"/>
            </w:pPr>
            <w:r w:rsidRPr="00E824FB">
              <w:t>This unit includes identifying and determining goods subject to anti-dumping and/or countervailing measures in accordance with legislative requirements.</w:t>
            </w:r>
          </w:p>
          <w:p w:rsidR="00000000" w:rsidRPr="00E824FB" w:rsidP="00E824FB">
            <w:pPr>
              <w:pStyle w:val="BodyText"/>
            </w:pPr>
            <w:r w:rsidRPr="00E824FB">
              <w:t>Work must b</w:t>
            </w:r>
            <w:r w:rsidRPr="00E824FB">
              <w:t>e carried out in compliance with relevant customs and anti-dumping legislation.</w:t>
            </w:r>
          </w:p>
          <w:p w:rsidR="00000000" w:rsidRPr="00E824FB" w:rsidP="00E824FB">
            <w:pPr>
              <w:pStyle w:val="BodyText"/>
            </w:pPr>
            <w:r w:rsidRPr="00E824FB">
              <w:t>Work is undertaken in a range of environments, including small to large worksites, in the customs broking and international supply chain industries.</w:t>
            </w:r>
          </w:p>
          <w:p w:rsidR="00000000" w:rsidRPr="00E824FB" w:rsidP="00E824FB">
            <w:pPr>
              <w:pStyle w:val="BodyText"/>
            </w:pPr>
            <w:r w:rsidRPr="00E824FB">
              <w:t>No licensing, legislative o</w:t>
            </w:r>
            <w:r w:rsidRPr="00E824FB">
              <w:t>r certification requirement apply to this unit at the time of publication.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3" w:name="O_1232774"/>
      <w:bookmarkEnd w:id="3"/>
      <w:r w:rsidRPr="00E824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Not applicable.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4" w:name="O_1232775"/>
      <w:bookmarkEnd w:id="4"/>
      <w:r w:rsidRPr="00E824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X – Logistics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5" w:name="O_1232776"/>
      <w:bookmarkEnd w:id="5"/>
      <w:r w:rsidRPr="00E824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Customs Broking.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6" w:name="O_1232777"/>
      <w:bookmarkEnd w:id="6"/>
      <w:r w:rsidRPr="00E824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1"/>
        <w:gridCol w:w="2614"/>
        <w:gridCol w:w="604"/>
        <w:gridCol w:w="1064"/>
        <w:gridCol w:w="3035"/>
        <w:gridCol w:w="1064"/>
      </w:tblGrid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ELEMENTS</w:t>
            </w:r>
          </w:p>
        </w:tc>
        <w:tc>
          <w:tcPr>
            <w:tcW w:w="5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PERFORMANCE CRITERIA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Elements describe the essential outcomes.</w:t>
            </w:r>
          </w:p>
        </w:tc>
        <w:tc>
          <w:tcPr>
            <w:tcW w:w="5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Performance criteria describe the performance needed to demonstrate achievement of the element.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1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Identify goods subject to anti</w:t>
            </w:r>
            <w:r w:rsidRPr="00E824FB">
              <w:rPr>
                <w:rStyle w:val="SpecialBold"/>
              </w:rPr>
              <w:t xml:space="preserve">-dumping and/or countervailing </w:t>
            </w:r>
            <w:r w:rsidRPr="00E824FB">
              <w:rPr>
                <w:rStyle w:val="SpecialBold"/>
              </w:rPr>
              <w:t>measures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1.1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 xml:space="preserve">Dumping alert for a particular tariff classification and statistical code in an import </w:t>
            </w:r>
            <w:r w:rsidRPr="00E824FB">
              <w:t xml:space="preserve">declaration is recognised 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1.2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Dumping commodities register (DCR), ministerial decisions and final reports are reviewed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1.3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Relevant dates of effect are verified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1.4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Goods are verified as subject to anti-dumping and/or countervailing measures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1.5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Place and/or country of export and origin is verified as subject to anti-dumping and/or countervailing measures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1.6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Exporter and/or supplier of goods are verified as potentially being subject to anti-dumping and/or countervailing measures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1.7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Goods are verified as of a kind subject to anti-dumping and/or countervailing measures and appropriate rates are identif</w:t>
            </w:r>
            <w:r w:rsidRPr="00E824FB">
              <w:t>ied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2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Determine dumping elements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2.1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 xml:space="preserve">Exempt goods are identified 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2.2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Dumping specification number (DSN) is determined in accordance with DCR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2.3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Dumping export price (DXP) is calculated in accordance with DCR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2.4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Ascertained export price (AEP) is determined and applied as relevant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2.5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Currency code for DXP is determined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2.6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Export country code is determined as required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2.7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Exchange rate is determined as required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2.8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Dumping unit quantity is checked with DCR requirements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3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Advise on anti-dumping and countervailing legislation</w:t>
            </w:r>
          </w:p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3.1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Requirements of anti-dumping and countervailing legislation are explained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3.2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Client understanding of anti-dumping and countervailing information provided is confirmed and any client misunderstanding is clarified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3.3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>Requirements of administration, review and revocation of anti-dumping and/or countervailing measures are identifi</w:t>
            </w:r>
            <w:r w:rsidRPr="00E824FB">
              <w:t>ed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4</w:t>
            </w: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rPr>
                <w:rStyle w:val="SpecialBold"/>
              </w:rPr>
              <w:t>Consider circumvention activity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4.1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t xml:space="preserve">Circumvention is explained </w:t>
            </w:r>
          </w:p>
        </w:tc>
      </w:tr>
      <w:tr w:rsidTr="00E8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64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>
            <w:pPr>
              <w:pStyle w:val="BodyText"/>
              <w:keepLines w:val="0"/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FB">
            <w:pPr>
              <w:pStyle w:val="BodyText"/>
              <w:rPr>
                <w:lang w:val="en-NZ"/>
              </w:rPr>
            </w:pPr>
            <w:r w:rsidRPr="00E824FB">
              <w:rPr>
                <w:rStyle w:val="SpecialBold"/>
              </w:rPr>
              <w:t>4.2</w:t>
            </w: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Anti-circumvention measures are explained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7" w:name="O_1232778"/>
      <w:bookmarkEnd w:id="7"/>
      <w:r w:rsidRPr="00E824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Foundation skills essential to performance are explicit in the performance criteria of this unit of competency.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8" w:name="O_1232779"/>
      <w:bookmarkEnd w:id="8"/>
      <w:r w:rsidRPr="00E824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Range is restricted to essential operating conditions and any other variables essential to the work environment.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9" w:name="O_1232780"/>
      <w:bookmarkEnd w:id="9"/>
      <w:r w:rsidRPr="00E824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4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FB" w:rsidP="00E824FB">
            <w:pPr>
              <w:pStyle w:val="BodyText"/>
            </w:pPr>
            <w:r w:rsidRPr="00E824FB">
              <w:t>This unit replaces but is not equivalent to TLIX5055 Apply anti-dumping and countervailing measu</w:t>
            </w:r>
            <w:r w:rsidRPr="00E824FB">
              <w:t>res.</w:t>
            </w:r>
          </w:p>
        </w:tc>
      </w:tr>
    </w:tbl>
    <w:p w:rsidR="007B7ED9" w:rsidP="00E824FB">
      <w:pPr>
        <w:pStyle w:val="NoPaddingFontSize1"/>
      </w:pPr>
    </w:p>
    <w:p w:rsidR="007B7ED9" w:rsidP="00E824FB">
      <w:pPr>
        <w:pStyle w:val="NoPaddingFontSize1"/>
      </w:pPr>
    </w:p>
    <w:p w:rsidR="00000000" w:rsidRPr="00E824FB" w:rsidP="00E824FB">
      <w:pPr>
        <w:pStyle w:val="Heading1"/>
      </w:pPr>
      <w:bookmarkStart w:id="10" w:name="O_1232787"/>
      <w:bookmarkEnd w:id="10"/>
      <w:r w:rsidRPr="00E824FB">
        <w:t>Links</w:t>
      </w:r>
    </w:p>
    <w:p w:rsidR="00000000" w:rsidRPr="00E824FB" w:rsidP="007B7ED9">
      <w:pPr>
        <w:pStyle w:val="BodyText"/>
      </w:pPr>
      <w:r w:rsidRPr="00E824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31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24FB" w:rsidP="00E824FB"/>
    <w:sectPr w:rsidSect="00E82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FB" w:rsidRPr="007B7ED9" w:rsidP="007B7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D9" w:rsidP="00E82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ED9" w:rsidP="00E82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7ED9" w:rsidP="00E82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4FB" w:rsidRPr="007B7ED9" w:rsidP="007B7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ED9" w:rsidRPr="002D2AF8" w:rsidP="00E82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TLIX0046 Apply anti-dumping and countervailing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B7ED9" w:rsidP="00E82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4FB"/>
  </w:style>
  <w:style w:type="character" w:customStyle="1" w:styleId="Heading1Char">
    <w:name w:val="Heading 1 Char"/>
    <w:basedOn w:val="DefaultParagraphFont"/>
    <w:link w:val="Heading1"/>
    <w:rsid w:val="00E82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4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24FB"/>
    <w:rPr>
      <w:b/>
      <w:spacing w:val="0"/>
    </w:rPr>
  </w:style>
  <w:style w:type="paragraph" w:customStyle="1" w:styleId="SuperHeading">
    <w:name w:val="SuperHeading"/>
    <w:basedOn w:val="Normal"/>
    <w:rsid w:val="00E82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2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4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2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4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4FB"/>
    <w:rPr>
      <w:i/>
    </w:rPr>
  </w:style>
  <w:style w:type="paragraph" w:styleId="Caption">
    <w:name w:val="caption"/>
    <w:basedOn w:val="BodyText"/>
    <w:next w:val="Normal"/>
    <w:qFormat/>
    <w:rsid w:val="00E82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4FB"/>
  </w:style>
  <w:style w:type="paragraph" w:styleId="TableofFigures">
    <w:name w:val="table of figures"/>
    <w:basedOn w:val="Normal"/>
    <w:next w:val="Normal"/>
    <w:semiHidden/>
    <w:rsid w:val="00E82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4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24FB"/>
    <w:rPr>
      <w:rFonts w:ascii="Wingdings" w:hAnsi="Wingdings"/>
    </w:rPr>
  </w:style>
  <w:style w:type="paragraph" w:customStyle="1" w:styleId="TableHeading">
    <w:name w:val="Table Heading"/>
    <w:basedOn w:val="HeadingBase"/>
    <w:rsid w:val="00E82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4FB"/>
    <w:rPr>
      <w:color w:val="0033CC"/>
      <w:u w:val="none"/>
    </w:rPr>
  </w:style>
  <w:style w:type="paragraph" w:customStyle="1" w:styleId="BodyTextRight">
    <w:name w:val="Body Text Right"/>
    <w:basedOn w:val="BodyText"/>
    <w:rsid w:val="00E82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4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4FB"/>
    <w:rPr>
      <w:sz w:val="32"/>
    </w:rPr>
  </w:style>
  <w:style w:type="paragraph" w:customStyle="1" w:styleId="HeadingProcedure">
    <w:name w:val="Heading Procedure"/>
    <w:basedOn w:val="HeadingBase"/>
    <w:next w:val="Normal"/>
    <w:rsid w:val="00E82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4FB"/>
    <w:pPr>
      <w:spacing w:before="60" w:after="60"/>
    </w:pPr>
  </w:style>
  <w:style w:type="paragraph" w:styleId="ListContinue">
    <w:name w:val="List Continue"/>
    <w:basedOn w:val="List"/>
    <w:rsid w:val="00E824FB"/>
    <w:pPr>
      <w:ind w:firstLine="0"/>
    </w:pPr>
  </w:style>
  <w:style w:type="paragraph" w:customStyle="1" w:styleId="ListNote">
    <w:name w:val="List Note"/>
    <w:basedOn w:val="List"/>
    <w:rsid w:val="00E82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4FB"/>
    <w:rPr>
      <w:rFonts w:ascii="Courier New" w:hAnsi="Courier New"/>
    </w:rPr>
  </w:style>
  <w:style w:type="paragraph" w:customStyle="1" w:styleId="NoteBullet">
    <w:name w:val="Note Bullet"/>
    <w:basedOn w:val="Note"/>
    <w:rsid w:val="00E82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4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2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4FB"/>
    <w:rPr>
      <w:b/>
      <w:smallCaps/>
    </w:rPr>
  </w:style>
  <w:style w:type="paragraph" w:customStyle="1" w:styleId="TableListNumber">
    <w:name w:val="Table List Number"/>
    <w:basedOn w:val="ListNumber"/>
    <w:rsid w:val="00E82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4FB"/>
    <w:pPr>
      <w:numPr>
        <w:numId w:val="7"/>
      </w:numPr>
    </w:pPr>
  </w:style>
  <w:style w:type="paragraph" w:customStyle="1" w:styleId="ListAlpha2">
    <w:name w:val="List Alpha 2"/>
    <w:basedOn w:val="List2"/>
    <w:rsid w:val="00E824FB"/>
    <w:pPr>
      <w:numPr>
        <w:numId w:val="6"/>
      </w:numPr>
    </w:pPr>
  </w:style>
  <w:style w:type="paragraph" w:styleId="List2">
    <w:name w:val="List 2"/>
    <w:basedOn w:val="BodyText"/>
    <w:rsid w:val="00E82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4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4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24FB"/>
    <w:pPr>
      <w:numPr>
        <w:numId w:val="2"/>
      </w:numPr>
    </w:pPr>
  </w:style>
  <w:style w:type="paragraph" w:styleId="ListContinue2">
    <w:name w:val="List Continue 2"/>
    <w:basedOn w:val="List2"/>
    <w:rsid w:val="00E824FB"/>
    <w:pPr>
      <w:ind w:firstLine="0"/>
    </w:pPr>
  </w:style>
  <w:style w:type="paragraph" w:styleId="ListContinue3">
    <w:name w:val="List Continue 3"/>
    <w:basedOn w:val="List3"/>
    <w:rsid w:val="00E824FB"/>
    <w:pPr>
      <w:ind w:left="1021" w:firstLine="0"/>
    </w:pPr>
  </w:style>
  <w:style w:type="paragraph" w:styleId="ListContinue4">
    <w:name w:val="List Continue 4"/>
    <w:basedOn w:val="List4"/>
    <w:rsid w:val="00E824FB"/>
    <w:pPr>
      <w:ind w:firstLine="0"/>
    </w:pPr>
  </w:style>
  <w:style w:type="paragraph" w:styleId="ListContinue5">
    <w:name w:val="List Continue 5"/>
    <w:basedOn w:val="List5"/>
    <w:rsid w:val="00E824FB"/>
    <w:pPr>
      <w:ind w:firstLine="0"/>
    </w:pPr>
  </w:style>
  <w:style w:type="paragraph" w:styleId="ListNumber3">
    <w:name w:val="List Number 3"/>
    <w:basedOn w:val="List3"/>
    <w:rsid w:val="00E824FB"/>
    <w:pPr>
      <w:numPr>
        <w:numId w:val="3"/>
      </w:numPr>
    </w:pPr>
  </w:style>
  <w:style w:type="paragraph" w:styleId="ListNumber4">
    <w:name w:val="List Number 4"/>
    <w:basedOn w:val="List4"/>
    <w:rsid w:val="00E824FB"/>
    <w:pPr>
      <w:numPr>
        <w:numId w:val="4"/>
      </w:numPr>
    </w:pPr>
  </w:style>
  <w:style w:type="paragraph" w:styleId="ListNumber5">
    <w:name w:val="List Number 5"/>
    <w:basedOn w:val="List5"/>
    <w:rsid w:val="00E824FB"/>
    <w:pPr>
      <w:numPr>
        <w:numId w:val="5"/>
      </w:numPr>
    </w:pPr>
  </w:style>
  <w:style w:type="paragraph" w:styleId="BlockText">
    <w:name w:val="Block Text"/>
    <w:basedOn w:val="Normal"/>
    <w:rsid w:val="00E82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4FB"/>
    <w:rPr>
      <w:sz w:val="16"/>
      <w:vertAlign w:val="superscript"/>
    </w:rPr>
  </w:style>
  <w:style w:type="character" w:customStyle="1" w:styleId="Symbols">
    <w:name w:val="Symbols"/>
    <w:basedOn w:val="DefaultParagraphFont"/>
    <w:rsid w:val="00E824FB"/>
    <w:rPr>
      <w:rFonts w:ascii="Symbol" w:hAnsi="Symbol"/>
    </w:rPr>
  </w:style>
  <w:style w:type="character" w:customStyle="1" w:styleId="MenuOptions">
    <w:name w:val="Menu Options"/>
    <w:basedOn w:val="DefaultParagraphFont"/>
    <w:rsid w:val="00E82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4FB"/>
    <w:rPr>
      <w:b/>
    </w:rPr>
  </w:style>
  <w:style w:type="character" w:customStyle="1" w:styleId="Underlined">
    <w:name w:val="Underlined"/>
    <w:basedOn w:val="DefaultParagraphFont"/>
    <w:rsid w:val="00E824FB"/>
    <w:rPr>
      <w:u w:val="single"/>
    </w:rPr>
  </w:style>
  <w:style w:type="paragraph" w:customStyle="1" w:styleId="TableBodyTextRight">
    <w:name w:val="Table Body Text Right"/>
    <w:basedOn w:val="TableBodyText"/>
    <w:rsid w:val="00E82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4FB"/>
    <w:rPr>
      <w:sz w:val="18"/>
    </w:rPr>
  </w:style>
  <w:style w:type="paragraph" w:customStyle="1" w:styleId="BodySmallRight">
    <w:name w:val="Body Small Right"/>
    <w:basedOn w:val="BodyTextRight"/>
    <w:rsid w:val="00E824FB"/>
    <w:rPr>
      <w:sz w:val="18"/>
      <w:szCs w:val="18"/>
    </w:rPr>
  </w:style>
  <w:style w:type="paragraph" w:customStyle="1" w:styleId="MarginEdition">
    <w:name w:val="Margin Edition"/>
    <w:basedOn w:val="MarginNote"/>
    <w:rsid w:val="00E82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4FB"/>
    <w:rPr>
      <w:sz w:val="2"/>
      <w:szCs w:val="2"/>
    </w:rPr>
  </w:style>
  <w:style w:type="character" w:customStyle="1" w:styleId="Small">
    <w:name w:val="Small"/>
    <w:basedOn w:val="DefaultParagraphFont"/>
    <w:rsid w:val="00E824FB"/>
    <w:rPr>
      <w:sz w:val="16"/>
    </w:rPr>
  </w:style>
  <w:style w:type="paragraph" w:customStyle="1" w:styleId="WideTable">
    <w:name w:val="Wide Table"/>
    <w:basedOn w:val="Normal"/>
    <w:rsid w:val="00E82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4FB"/>
  </w:style>
  <w:style w:type="paragraph" w:styleId="Quote">
    <w:name w:val="Quote"/>
    <w:basedOn w:val="Heading1"/>
    <w:link w:val="QuoteChar"/>
    <w:qFormat/>
    <w:rsid w:val="00E82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4FB"/>
    <w:pPr>
      <w:pageBreakBefore/>
    </w:pPr>
  </w:style>
  <w:style w:type="paragraph" w:customStyle="1" w:styleId="Border">
    <w:name w:val="Border"/>
    <w:basedOn w:val="Normal"/>
    <w:qFormat/>
    <w:rsid w:val="00E82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4FB"/>
    <w:rPr>
      <w:u w:val="single"/>
    </w:rPr>
  </w:style>
  <w:style w:type="character" w:customStyle="1" w:styleId="BoldandItalics">
    <w:name w:val="Bold and Italics"/>
    <w:qFormat/>
    <w:rsid w:val="00E824FB"/>
    <w:rPr>
      <w:b/>
      <w:i/>
      <w:u w:val="none"/>
    </w:rPr>
  </w:style>
  <w:style w:type="paragraph" w:styleId="BalloonText">
    <w:name w:val="Balloon Text"/>
    <w:basedOn w:val="Normal"/>
    <w:link w:val="BalloonTextChar"/>
    <w:rsid w:val="00E82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4FB"/>
    <w:pPr>
      <w:spacing w:before="0" w:after="0"/>
    </w:pPr>
  </w:style>
  <w:style w:type="paragraph" w:customStyle="1" w:styleId="BodyTextBold">
    <w:name w:val="Body Text Bold"/>
    <w:basedOn w:val="BodyText"/>
    <w:qFormat/>
    <w:rsid w:val="00E824FB"/>
    <w:rPr>
      <w:b/>
    </w:rPr>
  </w:style>
  <w:style w:type="character" w:styleId="Hyperlink">
    <w:name w:val="Hyperlink"/>
    <w:basedOn w:val="DefaultParagraphFont"/>
    <w:uiPriority w:val="99"/>
    <w:unhideWhenUsed/>
    <w:rsid w:val="007B7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3266</Characters>
  <Application>Microsoft Office Word</Application>
  <DocSecurity>0</DocSecurity>
  <Lines>217</Lines>
  <Paragraphs>94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TLIX0046 Apply anti-dumping and countervailing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