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9E9" w:rsidP="008449E9">
      <w:pPr>
        <w:pStyle w:val="Title"/>
      </w:pPr>
      <w:r>
        <w:fldChar w:fldCharType="begin"/>
      </w:r>
      <w:r>
        <w:instrText xml:space="preserve"> TITLE   \* MERGEFORMAT </w:instrText>
      </w:r>
      <w:r>
        <w:fldChar w:fldCharType="separate"/>
      </w:r>
      <w:r>
        <w:t>TLIX0046 Apply anti-dumping and countervailing measures</w:t>
      </w:r>
      <w:r>
        <w:fldChar w:fldCharType="end"/>
      </w:r>
    </w:p>
    <w:p w:rsidR="008449E9" w:rsidP="008449E9">
      <w:pPr>
        <w:pStyle w:val="Version"/>
        <w:sectPr w:rsidSect="006E3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F4C" w:rsidP="006E3F4C">
      <w:pPr>
        <w:pStyle w:val="SuperHeading"/>
      </w:pPr>
      <w:r w:rsidRPr="006E3F4C">
        <w:t>TLIX0046 Apply anti-dumping and countervailing measures</w:t>
      </w:r>
    </w:p>
    <w:p w:rsidR="00000000" w:rsidRPr="006E3F4C" w:rsidP="006E3F4C">
      <w:pPr>
        <w:pStyle w:val="Heading1"/>
      </w:pPr>
      <w:bookmarkStart w:id="1" w:name="O_1232772"/>
      <w:bookmarkEnd w:id="1"/>
      <w:r w:rsidRPr="006E3F4C">
        <w:t>Modification History</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Release 1</w:t>
            </w:r>
            <w:r w:rsidRPr="006E3F4C">
              <w:t>. This is the first release of this unit of competency in the TLI Transport and Logistics Training Package.</w:t>
            </w:r>
          </w:p>
        </w:tc>
      </w:tr>
    </w:tbl>
    <w:p w:rsidR="008449E9" w:rsidP="006E3F4C">
      <w:pPr>
        <w:pStyle w:val="NoPaddingFontSize1"/>
      </w:pPr>
    </w:p>
    <w:p w:rsidR="008449E9" w:rsidP="006E3F4C">
      <w:pPr>
        <w:pStyle w:val="NoPaddingFontSize1"/>
      </w:pPr>
    </w:p>
    <w:p w:rsidR="00000000" w:rsidRPr="006E3F4C" w:rsidP="006E3F4C">
      <w:pPr>
        <w:pStyle w:val="Heading1"/>
      </w:pPr>
      <w:bookmarkStart w:id="2" w:name="O_1232773"/>
      <w:bookmarkEnd w:id="2"/>
      <w:r w:rsidRPr="006E3F4C">
        <w:t>Application</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This unit involves the skills and knowledge required to identify g</w:t>
            </w:r>
            <w:r w:rsidRPr="006E3F4C">
              <w:t>oods subject to dumping and/or countervailing measures, and to calculate applicable duties.</w:t>
            </w:r>
          </w:p>
          <w:p w:rsidR="00000000" w:rsidRPr="006E3F4C" w:rsidP="006E3F4C">
            <w:pPr>
              <w:pStyle w:val="BodyText"/>
            </w:pPr>
            <w:r w:rsidRPr="006E3F4C">
              <w:t>This unit includes identifying and determining goods subject to anti-dumping and/or countervailing measures in accordance with legislative requirements.</w:t>
            </w:r>
          </w:p>
          <w:p w:rsidR="00000000" w:rsidRPr="006E3F4C" w:rsidP="006E3F4C">
            <w:pPr>
              <w:pStyle w:val="BodyText"/>
            </w:pPr>
            <w:r w:rsidRPr="006E3F4C">
              <w:t>Work must b</w:t>
            </w:r>
            <w:r w:rsidRPr="006E3F4C">
              <w:t>e carried out in compliance with relevant customs and anti-dumping legislation.</w:t>
            </w:r>
          </w:p>
          <w:p w:rsidR="00000000" w:rsidRPr="006E3F4C" w:rsidP="006E3F4C">
            <w:pPr>
              <w:pStyle w:val="BodyText"/>
            </w:pPr>
            <w:r w:rsidRPr="006E3F4C">
              <w:t>Work is undertaken in a range of environments, including small to large worksites, in the customs broking and international supply chain industries.</w:t>
            </w:r>
          </w:p>
          <w:p w:rsidR="00000000" w:rsidRPr="006E3F4C" w:rsidP="006E3F4C">
            <w:pPr>
              <w:pStyle w:val="BodyText"/>
            </w:pPr>
            <w:r w:rsidRPr="006E3F4C">
              <w:t>No licensing, legislative o</w:t>
            </w:r>
            <w:r w:rsidRPr="006E3F4C">
              <w:t>r certification requirement apply to this unit at the time of publication.</w:t>
            </w:r>
          </w:p>
        </w:tc>
      </w:tr>
    </w:tbl>
    <w:p w:rsidR="008449E9" w:rsidP="006E3F4C">
      <w:pPr>
        <w:pStyle w:val="NoPaddingFontSize1"/>
      </w:pPr>
    </w:p>
    <w:p w:rsidR="008449E9" w:rsidP="006E3F4C">
      <w:pPr>
        <w:pStyle w:val="NoPaddingFontSize1"/>
      </w:pPr>
    </w:p>
    <w:p w:rsidR="00000000" w:rsidRPr="006E3F4C" w:rsidP="006E3F4C">
      <w:pPr>
        <w:pStyle w:val="Heading1"/>
      </w:pPr>
      <w:bookmarkStart w:id="3" w:name="O_1232774"/>
      <w:bookmarkEnd w:id="3"/>
      <w:r w:rsidRPr="006E3F4C">
        <w:t>Pre-requisite Unit</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Not applicable.</w:t>
            </w:r>
          </w:p>
        </w:tc>
      </w:tr>
    </w:tbl>
    <w:p w:rsidR="008449E9" w:rsidP="006E3F4C">
      <w:pPr>
        <w:pStyle w:val="NoPaddingFontSize1"/>
      </w:pPr>
    </w:p>
    <w:p w:rsidR="008449E9" w:rsidP="006E3F4C">
      <w:pPr>
        <w:pStyle w:val="NoPaddingFontSize1"/>
      </w:pPr>
    </w:p>
    <w:p w:rsidR="00000000" w:rsidRPr="006E3F4C" w:rsidP="006E3F4C">
      <w:pPr>
        <w:pStyle w:val="Heading1"/>
      </w:pPr>
      <w:bookmarkStart w:id="4" w:name="O_1232775"/>
      <w:bookmarkEnd w:id="4"/>
      <w:r w:rsidRPr="006E3F4C">
        <w:t>Competency Field</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X – Logistics</w:t>
            </w:r>
          </w:p>
        </w:tc>
      </w:tr>
    </w:tbl>
    <w:p w:rsidR="008449E9" w:rsidP="006E3F4C">
      <w:pPr>
        <w:pStyle w:val="NoPaddingFontSize1"/>
      </w:pPr>
    </w:p>
    <w:p w:rsidR="008449E9" w:rsidP="006E3F4C">
      <w:pPr>
        <w:pStyle w:val="NoPaddingFontSize1"/>
      </w:pPr>
    </w:p>
    <w:p w:rsidR="00000000" w:rsidRPr="006E3F4C" w:rsidP="006E3F4C">
      <w:pPr>
        <w:pStyle w:val="Heading1"/>
      </w:pPr>
      <w:bookmarkStart w:id="5" w:name="O_1232776"/>
      <w:bookmarkEnd w:id="5"/>
      <w:r w:rsidRPr="006E3F4C">
        <w:t>Unit Sector</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Customs Broking.</w:t>
            </w:r>
          </w:p>
        </w:tc>
      </w:tr>
    </w:tbl>
    <w:p w:rsidR="008449E9" w:rsidP="006E3F4C">
      <w:pPr>
        <w:pStyle w:val="NoPaddingFontSize1"/>
      </w:pPr>
    </w:p>
    <w:p w:rsidR="008449E9" w:rsidP="006E3F4C">
      <w:pPr>
        <w:pStyle w:val="NoPaddingFontSize1"/>
      </w:pPr>
    </w:p>
    <w:p w:rsidR="00000000" w:rsidRPr="006E3F4C" w:rsidP="006E3F4C">
      <w:pPr>
        <w:pStyle w:val="Heading1"/>
      </w:pPr>
      <w:bookmarkStart w:id="6" w:name="O_1232777"/>
      <w:bookmarkEnd w:id="6"/>
      <w:r w:rsidRPr="006E3F4C">
        <w:t>Elements and Performance Criteria</w:t>
      </w:r>
    </w:p>
    <w:tbl>
      <w:tblPr>
        <w:tblW w:w="0" w:type="auto"/>
        <w:tblLayout w:type="fixed"/>
        <w:tblCellMar>
          <w:left w:w="62" w:type="dxa"/>
          <w:right w:w="62" w:type="dxa"/>
        </w:tblCellMar>
        <w:tblLook w:val="0000"/>
      </w:tblPr>
      <w:tblGrid>
        <w:gridCol w:w="631"/>
        <w:gridCol w:w="2614"/>
        <w:gridCol w:w="604"/>
        <w:gridCol w:w="1064"/>
        <w:gridCol w:w="3035"/>
        <w:gridCol w:w="1064"/>
      </w:tblGrid>
      <w:tr w:rsidTr="006E3F4C">
        <w:tblPrEx>
          <w:tblW w:w="0" w:type="auto"/>
          <w:tblLayout w:type="fixed"/>
          <w:tblCellMar>
            <w:left w:w="62" w:type="dxa"/>
            <w:right w:w="62" w:type="dxa"/>
          </w:tblCellMar>
          <w:tblLook w:val="0000"/>
        </w:tblPrEx>
        <w:tc>
          <w:tcPr>
            <w:tcW w:w="3849" w:type="dxa"/>
            <w:gridSpan w:val="3"/>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ELEMENTS</w:t>
            </w:r>
          </w:p>
        </w:tc>
        <w:tc>
          <w:tcPr>
            <w:tcW w:w="5163" w:type="dxa"/>
            <w:gridSpan w:val="3"/>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PERFORMANCE CRITERIA</w:t>
            </w:r>
          </w:p>
        </w:tc>
      </w:tr>
      <w:tr w:rsidTr="006E3F4C">
        <w:tblPrEx>
          <w:tblW w:w="0" w:type="auto"/>
          <w:tblLayout w:type="fixed"/>
          <w:tblCellMar>
            <w:left w:w="62" w:type="dxa"/>
            <w:right w:w="62" w:type="dxa"/>
          </w:tblCellMar>
          <w:tblLook w:val="0000"/>
        </w:tblPrEx>
        <w:tc>
          <w:tcPr>
            <w:tcW w:w="3849" w:type="dxa"/>
            <w:gridSpan w:val="3"/>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Elements describe the essential outcomes.</w:t>
            </w:r>
          </w:p>
        </w:tc>
        <w:tc>
          <w:tcPr>
            <w:tcW w:w="5163" w:type="dxa"/>
            <w:gridSpan w:val="3"/>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Performance criteria describe the performance needed to demonstrate achievement of the element.</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1</w:t>
            </w:r>
          </w:p>
        </w:tc>
        <w:tc>
          <w:tcPr>
            <w:tcW w:w="2614"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 xml:space="preserve">Identify goods subject to anti-dumping and/or countervailing </w:t>
            </w:r>
            <w:r w:rsidRPr="006E3F4C">
              <w:rPr>
                <w:rStyle w:val="SpecialBold"/>
              </w:rPr>
              <w:t>measures</w:t>
            </w: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1.1</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 xml:space="preserve">Dumping alert for a particular tariff classification and statistical code in an import </w:t>
            </w:r>
            <w:r w:rsidRPr="006E3F4C">
              <w:t xml:space="preserve">declaration is recognised </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1.2</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Dumping commodities register (DCR), ministerial decisions and final reports are reviewed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1.3</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Relevant dates of effect are verified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1.4</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Goods are verified as subject to anti-dumping and/or countervailing measures</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1.5</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Place and/or country of export and origin is verified as subject to anti-dumping and/or countervailing measures</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1.6</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Exporter and/or supplier of goods are verified as potentially being subject to anti-dumping and/or countervailing measures</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1.7</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Goods</w:t>
            </w:r>
            <w:r w:rsidRPr="006E3F4C">
              <w:t xml:space="preserve"> are verified as of a kind subject to anti-dumping and/or countervailing measures and appropriate rates are identified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2</w:t>
            </w:r>
          </w:p>
        </w:tc>
        <w:tc>
          <w:tcPr>
            <w:tcW w:w="2614"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Determine dumping elements</w:t>
            </w: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2.1</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 xml:space="preserve">Exempt goods are identified </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2.2</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Dumping specification number (DSN) is determined in acc</w:t>
            </w:r>
            <w:r w:rsidRPr="006E3F4C">
              <w:t>ordance with DCR</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2.3</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Dumping export price (DXP) is calculated in accordance with DCR</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2.4</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Ascertained export price (AEP) is determined and applied as relevant</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2.5</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Currency code for DXP is determined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2.6</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Export country code is determined as required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2.7</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Exchange rate is determined as required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2.8</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Dumping unit quantity is checked with DCR requirements</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3</w:t>
            </w:r>
          </w:p>
        </w:tc>
        <w:tc>
          <w:tcPr>
            <w:tcW w:w="2614"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Advise on anti-dumping and countervailing legislation</w:t>
            </w:r>
          </w:p>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3.1</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Requirements of anti-dumping and countervailing legislation are explained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3.2</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Client understanding of anti-dumping and countervailing information provided is confirmed and any client misunderstanding is clarified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3.3</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Requirements of administration, review and revocation of anti-dumping and/or countervailing measures are identified</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4</w:t>
            </w:r>
          </w:p>
        </w:tc>
        <w:tc>
          <w:tcPr>
            <w:tcW w:w="2614"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Consider circumvention activity</w:t>
            </w: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4.1</w:t>
            </w:r>
          </w:p>
        </w:tc>
        <w:tc>
          <w:tcPr>
            <w:tcW w:w="3035"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 xml:space="preserve">Circumvention is explained </w:t>
            </w:r>
          </w:p>
        </w:tc>
      </w:tr>
      <w:tr w:rsidTr="006E3F4C">
        <w:tblPrEx>
          <w:tblW w:w="0" w:type="auto"/>
          <w:tblLayout w:type="fixed"/>
          <w:tblCellMar>
            <w:left w:w="62" w:type="dxa"/>
            <w:right w:w="62" w:type="dxa"/>
          </w:tblCellMar>
          <w:tblLook w:val="0000"/>
        </w:tblPrEx>
        <w:trPr>
          <w:gridAfter w:val="1"/>
          <w:wAfter w:w="1064" w:type="dxa"/>
        </w:trPr>
        <w:tc>
          <w:tcPr>
            <w:tcW w:w="6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4" w:type="dxa"/>
            <w:tcBorders>
              <w:top w:val="nil"/>
              <w:left w:val="nil"/>
              <w:bottom w:val="nil"/>
              <w:right w:val="nil"/>
            </w:tcBorders>
            <w:tcMar>
              <w:top w:w="0" w:type="dxa"/>
              <w:left w:w="62" w:type="dxa"/>
              <w:bottom w:w="0" w:type="dxa"/>
              <w:right w:w="62" w:type="dxa"/>
            </w:tcMar>
          </w:tcPr>
          <w:p w:rsidR="00000000" w:rsidRPr="006E3F4C">
            <w:pPr>
              <w:pStyle w:val="BodyText"/>
              <w:keepLines w:val="0"/>
              <w:spacing w:before="0" w:after="0"/>
            </w:pPr>
          </w:p>
        </w:tc>
        <w:tc>
          <w:tcPr>
            <w:tcW w:w="1668" w:type="dxa"/>
            <w:gridSpan w:val="2"/>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rPr>
                <w:rStyle w:val="SpecialBold"/>
              </w:rPr>
              <w:t>4.2</w:t>
            </w:r>
          </w:p>
        </w:tc>
        <w:tc>
          <w:tcPr>
            <w:tcW w:w="3035"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Anti-circumvention measures are explained</w:t>
            </w:r>
          </w:p>
        </w:tc>
      </w:tr>
    </w:tbl>
    <w:p w:rsidR="008449E9" w:rsidP="006E3F4C">
      <w:pPr>
        <w:pStyle w:val="NoPaddingFontSize1"/>
      </w:pPr>
    </w:p>
    <w:p w:rsidR="008449E9" w:rsidP="006E3F4C">
      <w:pPr>
        <w:pStyle w:val="NoPaddingFontSize1"/>
      </w:pPr>
    </w:p>
    <w:p w:rsidR="00000000" w:rsidRPr="006E3F4C" w:rsidP="006E3F4C">
      <w:pPr>
        <w:pStyle w:val="Heading1"/>
      </w:pPr>
      <w:bookmarkStart w:id="7" w:name="O_1232778"/>
      <w:bookmarkEnd w:id="7"/>
      <w:r w:rsidRPr="006E3F4C">
        <w:t>Foundation Skills</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Foundation skills essential to performance are explicit in the performance criteria of this unit of competency.</w:t>
            </w:r>
          </w:p>
        </w:tc>
      </w:tr>
    </w:tbl>
    <w:p w:rsidR="008449E9" w:rsidP="006E3F4C">
      <w:pPr>
        <w:pStyle w:val="NoPaddingFontSize1"/>
      </w:pPr>
    </w:p>
    <w:p w:rsidR="008449E9" w:rsidP="006E3F4C">
      <w:pPr>
        <w:pStyle w:val="NoPaddingFontSize1"/>
      </w:pPr>
    </w:p>
    <w:p w:rsidR="00000000" w:rsidRPr="006E3F4C" w:rsidP="006E3F4C">
      <w:pPr>
        <w:pStyle w:val="Heading1"/>
      </w:pPr>
      <w:bookmarkStart w:id="8" w:name="O_1232779"/>
      <w:bookmarkEnd w:id="8"/>
      <w:r w:rsidRPr="006E3F4C">
        <w:t>Range of Conditions</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Range is restricted to essential operating conditions and any other variables essential to the work environment.</w:t>
            </w:r>
          </w:p>
        </w:tc>
      </w:tr>
    </w:tbl>
    <w:p w:rsidR="008449E9" w:rsidP="006E3F4C">
      <w:pPr>
        <w:pStyle w:val="NoPaddingFontSize1"/>
      </w:pPr>
    </w:p>
    <w:p w:rsidR="008449E9" w:rsidP="006E3F4C">
      <w:pPr>
        <w:pStyle w:val="NoPaddingFontSize1"/>
      </w:pPr>
    </w:p>
    <w:p w:rsidR="00000000" w:rsidRPr="006E3F4C" w:rsidP="006E3F4C">
      <w:pPr>
        <w:pStyle w:val="Heading1"/>
      </w:pPr>
      <w:bookmarkStart w:id="9" w:name="O_1232780"/>
      <w:bookmarkEnd w:id="9"/>
      <w:r w:rsidRPr="006E3F4C">
        <w:t>Unit Mapping Information</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This unit replaces but is not equivalent to TLIX5055 Apply anti-dumping and countervailing measu</w:t>
            </w:r>
            <w:r w:rsidRPr="006E3F4C">
              <w:t>res.</w:t>
            </w:r>
          </w:p>
        </w:tc>
      </w:tr>
    </w:tbl>
    <w:p w:rsidR="008449E9" w:rsidP="006E3F4C">
      <w:pPr>
        <w:pStyle w:val="NoPaddingFontSize1"/>
      </w:pPr>
    </w:p>
    <w:p w:rsidR="008449E9" w:rsidP="006E3F4C">
      <w:pPr>
        <w:pStyle w:val="NoPaddingFontSize1"/>
      </w:pPr>
    </w:p>
    <w:p w:rsidR="00000000" w:rsidRPr="006E3F4C" w:rsidP="006E3F4C">
      <w:pPr>
        <w:pStyle w:val="Heading1"/>
      </w:pPr>
      <w:bookmarkStart w:id="10" w:name="O_1232787"/>
      <w:bookmarkEnd w:id="10"/>
      <w:r w:rsidRPr="006E3F4C">
        <w:t>Links</w:t>
      </w:r>
    </w:p>
    <w:p w:rsidR="00000000" w:rsidRPr="006E3F4C" w:rsidP="008449E9">
      <w:pPr>
        <w:pStyle w:val="BodyText"/>
      </w:pPr>
      <w:r w:rsidRPr="006E3F4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79B7">
        <w:rPr>
          <w:rStyle w:val="Hyperlink"/>
        </w:rPr>
        <w:t>https://vetnet.gov.au/Pages/TrainingDocs.aspx?q=df441c6e-213d-43e3-874c-0b3f7036d851</w:t>
      </w:r>
      <w:r>
        <w:fldChar w:fldCharType="end"/>
      </w:r>
    </w:p>
    <w:p w:rsidR="00000000" w:rsidRPr="006E3F4C" w:rsidP="008449E9">
      <w:pPr>
        <w:pStyle w:val="BodyText"/>
        <w:sectPr w:rsidSect="006E3F4C">
          <w:headerReference w:type="default" r:id="rId10"/>
          <w:footerReference w:type="default" r:id="rId11"/>
          <w:pgSz w:w="11908" w:h="16833"/>
          <w:pgMar w:top="1702" w:right="1418" w:bottom="1702" w:left="1418" w:header="992" w:footer="992" w:gutter="0"/>
          <w:cols w:space="720"/>
          <w:noEndnote/>
          <w:docGrid w:linePitch="299"/>
        </w:sectPr>
      </w:pPr>
    </w:p>
    <w:p w:rsidR="00000000" w:rsidRPr="006E3F4C" w:rsidP="006E3F4C">
      <w:pPr>
        <w:pStyle w:val="SuperHeading"/>
      </w:pPr>
      <w:r w:rsidRPr="006E3F4C">
        <w:t xml:space="preserve">Assessment </w:t>
      </w:r>
      <w:r w:rsidRPr="006E3F4C">
        <w:t>Requirements for TLIX0046 Apply anti-dumping and countervailing measures</w:t>
      </w:r>
    </w:p>
    <w:p w:rsidR="00000000" w:rsidRPr="006E3F4C" w:rsidP="006E3F4C">
      <w:pPr>
        <w:pStyle w:val="Heading1"/>
      </w:pPr>
      <w:bookmarkStart w:id="11" w:name="O_1232782"/>
      <w:bookmarkEnd w:id="11"/>
      <w:r w:rsidRPr="006E3F4C">
        <w:t>Modification History</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rPr>
                <w:rStyle w:val="SpecialBold"/>
              </w:rPr>
              <w:t>Release 1</w:t>
            </w:r>
            <w:r w:rsidRPr="006E3F4C">
              <w:t>. This is the first release of this unit of competency in the TLI Transport and Logistics Training Package.</w:t>
            </w:r>
          </w:p>
        </w:tc>
      </w:tr>
    </w:tbl>
    <w:p w:rsidR="008449E9" w:rsidP="006E3F4C">
      <w:pPr>
        <w:pStyle w:val="NoPaddingFontSize1"/>
      </w:pPr>
    </w:p>
    <w:p w:rsidR="008449E9" w:rsidP="006E3F4C">
      <w:pPr>
        <w:pStyle w:val="NoPaddingFontSize1"/>
      </w:pPr>
    </w:p>
    <w:p w:rsidR="00000000" w:rsidRPr="006E3F4C" w:rsidP="006E3F4C">
      <w:pPr>
        <w:pStyle w:val="Heading1"/>
      </w:pPr>
      <w:bookmarkStart w:id="12" w:name="O_1232783"/>
      <w:bookmarkEnd w:id="12"/>
      <w:r w:rsidRPr="006E3F4C">
        <w:t>Perfo</w:t>
      </w:r>
      <w:r w:rsidRPr="006E3F4C">
        <w:t>rmance Evidence</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Evidence required to demonstrate competence in this unit must be relevant to and satisfy all of the requirements of the elements and performance criteria on at least one occasion and include:</w:t>
            </w:r>
          </w:p>
        </w:tc>
      </w:tr>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ListBullet"/>
            </w:pPr>
            <w:r w:rsidRPr="006E3F4C">
              <w:t>advising on the operation/aspects of the Austr</w:t>
            </w:r>
            <w:r w:rsidRPr="006E3F4C">
              <w:t xml:space="preserve">alian anti-dumping and countervailing system </w:t>
            </w:r>
          </w:p>
          <w:p w:rsidR="00000000" w:rsidRPr="006E3F4C" w:rsidP="006E3F4C">
            <w:pPr>
              <w:pStyle w:val="ListBullet"/>
            </w:pPr>
            <w:r w:rsidRPr="006E3F4C">
              <w:t>applying appropriate Acts and regulations</w:t>
            </w:r>
          </w:p>
          <w:p w:rsidR="00000000" w:rsidRPr="006E3F4C" w:rsidP="006E3F4C">
            <w:pPr>
              <w:pStyle w:val="ListBullet"/>
            </w:pPr>
            <w:r w:rsidRPr="006E3F4C">
              <w:t>calculating ascertained export price (AEP)</w:t>
            </w:r>
          </w:p>
          <w:p w:rsidR="00000000" w:rsidRPr="006E3F4C" w:rsidP="006E3F4C">
            <w:pPr>
              <w:pStyle w:val="ListBullet"/>
            </w:pPr>
            <w:r w:rsidRPr="006E3F4C">
              <w:t>calculating dumping and/or countervailing duties payable</w:t>
            </w:r>
          </w:p>
          <w:p w:rsidR="00000000" w:rsidRPr="006E3F4C" w:rsidP="006E3F4C">
            <w:pPr>
              <w:pStyle w:val="ListBullet"/>
            </w:pPr>
            <w:r w:rsidRPr="006E3F4C">
              <w:t>calculating dumping export price (DXP)</w:t>
            </w:r>
          </w:p>
          <w:p w:rsidR="00000000" w:rsidRPr="006E3F4C" w:rsidP="006E3F4C">
            <w:pPr>
              <w:pStyle w:val="ListBullet"/>
            </w:pPr>
            <w:r w:rsidRPr="006E3F4C">
              <w:t>identifying exempt goods, country and suppliers/exporters</w:t>
            </w:r>
          </w:p>
          <w:p w:rsidR="00000000" w:rsidRPr="006E3F4C" w:rsidP="006E3F4C">
            <w:pPr>
              <w:pStyle w:val="ListBullet"/>
            </w:pPr>
            <w:r w:rsidRPr="006E3F4C">
              <w:t>identifying goods subject to anti-dumping and/or countervailing duty</w:t>
            </w:r>
          </w:p>
          <w:p w:rsidR="00000000" w:rsidRPr="006E3F4C" w:rsidP="006E3F4C">
            <w:pPr>
              <w:pStyle w:val="ListBullet"/>
            </w:pPr>
            <w:r w:rsidRPr="006E3F4C">
              <w:t>identifying relevant country of export and/or origin.</w:t>
            </w:r>
          </w:p>
        </w:tc>
      </w:tr>
    </w:tbl>
    <w:p w:rsidR="008449E9" w:rsidP="006E3F4C">
      <w:pPr>
        <w:pStyle w:val="NoPaddingFontSize1"/>
      </w:pPr>
    </w:p>
    <w:p w:rsidR="008449E9" w:rsidP="006E3F4C">
      <w:pPr>
        <w:pStyle w:val="NoPaddingFontSize1"/>
      </w:pPr>
    </w:p>
    <w:p w:rsidR="00000000" w:rsidRPr="006E3F4C" w:rsidP="006E3F4C">
      <w:pPr>
        <w:pStyle w:val="Heading1"/>
      </w:pPr>
      <w:bookmarkStart w:id="13" w:name="O_1232784"/>
      <w:bookmarkEnd w:id="13"/>
      <w:r w:rsidRPr="006E3F4C">
        <w:t>Knowledge Evidence</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3F4C">
            <w:pPr>
              <w:pStyle w:val="BodyText"/>
              <w:rPr>
                <w:lang w:val="en-NZ"/>
              </w:rPr>
            </w:pPr>
            <w:r w:rsidRPr="006E3F4C">
              <w:t>Evidence required to demonstrate c</w:t>
            </w:r>
            <w:r w:rsidRPr="006E3F4C">
              <w:t>ompetence in this unit must be relevant to and satisfy all of the requirements of the elements and performance criteria and include knowledge of:</w:t>
            </w:r>
          </w:p>
        </w:tc>
      </w:tr>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ListBullet"/>
            </w:pPr>
            <w:r w:rsidRPr="006E3F4C">
              <w:t>assessing shipments using current government legislation including:</w:t>
            </w:r>
          </w:p>
          <w:p w:rsidR="00000000" w:rsidRPr="006E3F4C" w:rsidP="006E3F4C">
            <w:pPr>
              <w:pStyle w:val="ListBullet2"/>
            </w:pPr>
            <w:r w:rsidRPr="006E3F4C">
              <w:t>Australian Customs Act and regulations</w:t>
            </w:r>
          </w:p>
          <w:p w:rsidR="00000000" w:rsidRPr="006E3F4C" w:rsidP="006E3F4C">
            <w:pPr>
              <w:pStyle w:val="ListBullet2"/>
            </w:pPr>
            <w:r w:rsidRPr="006E3F4C">
              <w:t>Dumping Commodity Register (DCR)</w:t>
            </w:r>
          </w:p>
          <w:p w:rsidR="00000000" w:rsidRPr="006E3F4C" w:rsidP="006E3F4C">
            <w:pPr>
              <w:pStyle w:val="ListBullet2"/>
            </w:pPr>
            <w:r w:rsidRPr="006E3F4C">
              <w:t xml:space="preserve">Australian anti-dumping and countervailing legislation </w:t>
            </w:r>
          </w:p>
          <w:p w:rsidR="00000000" w:rsidRPr="006E3F4C" w:rsidP="006E3F4C">
            <w:pPr>
              <w:pStyle w:val="ListBullet"/>
            </w:pPr>
            <w:r w:rsidRPr="006E3F4C">
              <w:t>circumvention activities</w:t>
            </w:r>
          </w:p>
          <w:p w:rsidR="00000000" w:rsidRPr="006E3F4C" w:rsidP="006E3F4C">
            <w:pPr>
              <w:pStyle w:val="ListBullet"/>
            </w:pPr>
            <w:r w:rsidRPr="006E3F4C">
              <w:t>content and use of DCR</w:t>
            </w:r>
          </w:p>
          <w:p w:rsidR="00000000" w:rsidRPr="006E3F4C" w:rsidP="006E3F4C">
            <w:pPr>
              <w:pStyle w:val="ListBullet"/>
            </w:pPr>
            <w:r w:rsidRPr="006E3F4C">
              <w:t>dumping and countervailing securities, eventual outcomes and conversions</w:t>
            </w:r>
          </w:p>
          <w:p w:rsidR="00000000" w:rsidRPr="006E3F4C" w:rsidP="006E3F4C">
            <w:pPr>
              <w:pStyle w:val="ListBullet"/>
            </w:pPr>
            <w:r w:rsidRPr="006E3F4C">
              <w:t>dumping duty assessments</w:t>
            </w:r>
          </w:p>
          <w:p w:rsidR="00000000" w:rsidRPr="006E3F4C" w:rsidP="006E3F4C">
            <w:pPr>
              <w:pStyle w:val="ListBullet"/>
            </w:pPr>
            <w:r w:rsidRPr="006E3F4C">
              <w:t>preparing final dumping duty assessments</w:t>
            </w:r>
          </w:p>
          <w:p w:rsidR="00000000" w:rsidRPr="006E3F4C" w:rsidP="006E3F4C">
            <w:pPr>
              <w:pStyle w:val="ListBullet"/>
            </w:pPr>
            <w:r w:rsidRPr="006E3F4C">
              <w:t>processes to determine and calculate anti-dumping and countervailing duties.</w:t>
            </w:r>
          </w:p>
        </w:tc>
      </w:tr>
    </w:tbl>
    <w:p w:rsidR="008449E9" w:rsidP="006E3F4C">
      <w:pPr>
        <w:pStyle w:val="NoPaddingFontSize1"/>
      </w:pPr>
    </w:p>
    <w:p w:rsidR="008449E9" w:rsidP="006E3F4C">
      <w:pPr>
        <w:pStyle w:val="NoPaddingFontSize1"/>
      </w:pPr>
    </w:p>
    <w:p w:rsidR="00000000" w:rsidRPr="006E3F4C" w:rsidP="006E3F4C">
      <w:pPr>
        <w:pStyle w:val="Heading1"/>
      </w:pPr>
      <w:bookmarkStart w:id="14" w:name="O_1232785"/>
      <w:bookmarkEnd w:id="14"/>
      <w:r w:rsidRPr="006E3F4C">
        <w:t>Assessment Conditions</w:t>
      </w:r>
    </w:p>
    <w:tbl>
      <w:tblPr>
        <w:tblW w:w="9497" w:type="dxa"/>
        <w:tblLayout w:type="fixed"/>
        <w:tblCellMar>
          <w:left w:w="62" w:type="dxa"/>
          <w:right w:w="62" w:type="dxa"/>
        </w:tblCellMar>
        <w:tblLook w:val="0000"/>
      </w:tblPr>
      <w:tblGrid>
        <w:gridCol w:w="9497"/>
      </w:tblGrid>
      <w:tr w:rsidTr="006E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3F4C" w:rsidP="006E3F4C">
            <w:pPr>
              <w:pStyle w:val="BodyText"/>
            </w:pPr>
            <w:r w:rsidRPr="006E3F4C">
              <w:t>Assessors must hold credentials specified within the Standards for Registered Training Organis</w:t>
            </w:r>
            <w:r w:rsidRPr="006E3F4C">
              <w:t xml:space="preserve">ations current at the time of assessment. </w:t>
            </w:r>
          </w:p>
          <w:p w:rsidR="00000000" w:rsidRPr="006E3F4C" w:rsidP="006E3F4C">
            <w:pPr>
              <w:pStyle w:val="BodyText"/>
            </w:pPr>
            <w:r w:rsidRPr="006E3F4C">
              <w:t>Assessment must satisfy the Principles of Assessment and Rules of Evidence and all regulatory requirements included within the Standards for Registered Training Organisations current at the time of assessment.</w:t>
            </w:r>
          </w:p>
          <w:p w:rsidR="00000000" w:rsidRPr="006E3F4C" w:rsidP="006E3F4C">
            <w:pPr>
              <w:pStyle w:val="BodyText"/>
            </w:pPr>
            <w:r w:rsidRPr="006E3F4C">
              <w:t>Assessment must occur in workplace operational situations where it is appropriate to do so; where this is not appropriate, assessment must occur in simulated workplace operational situations that replicate workplace conditions.</w:t>
            </w:r>
          </w:p>
          <w:p w:rsidR="00000000" w:rsidRPr="006E3F4C" w:rsidP="006E3F4C">
            <w:pPr>
              <w:pStyle w:val="BodyText"/>
            </w:pPr>
            <w:r w:rsidRPr="006E3F4C">
              <w:t>Assessment processes and tec</w:t>
            </w:r>
            <w:r w:rsidRPr="006E3F4C">
              <w:t>hniques must be appropriate to the language, literacy and numeracy requirements of the work being performed and the needs of the candidate.</w:t>
            </w:r>
          </w:p>
          <w:p w:rsidR="00000000" w:rsidRPr="006E3F4C" w:rsidP="006E3F4C">
            <w:pPr>
              <w:pStyle w:val="BodyText"/>
            </w:pPr>
            <w:r w:rsidRPr="006E3F4C">
              <w:t>Resources for assessment must include access to:</w:t>
            </w:r>
          </w:p>
          <w:p w:rsidR="00000000" w:rsidRPr="006E3F4C" w:rsidP="006E3F4C">
            <w:pPr>
              <w:pStyle w:val="ListBullet"/>
            </w:pPr>
            <w:r w:rsidRPr="006E3F4C">
              <w:t>a range of relevant exercises, case studies and/or simulations</w:t>
            </w:r>
          </w:p>
          <w:p w:rsidR="00000000" w:rsidRPr="006E3F4C" w:rsidP="006E3F4C">
            <w:pPr>
              <w:pStyle w:val="ListBullet"/>
            </w:pPr>
            <w:r w:rsidRPr="006E3F4C">
              <w:t>app</w:t>
            </w:r>
            <w:r w:rsidRPr="006E3F4C">
              <w:t>licable documentation including workplace procedures, regulations, codes of practice and operation manuals.</w:t>
            </w:r>
          </w:p>
        </w:tc>
      </w:tr>
    </w:tbl>
    <w:p w:rsidR="008449E9" w:rsidP="006E3F4C">
      <w:pPr>
        <w:pStyle w:val="NoPaddingFontSize1"/>
      </w:pPr>
    </w:p>
    <w:p w:rsidR="008449E9" w:rsidP="006E3F4C">
      <w:pPr>
        <w:pStyle w:val="NoPaddingFontSize1"/>
      </w:pPr>
    </w:p>
    <w:p w:rsidR="00000000" w:rsidRPr="006E3F4C" w:rsidP="006E3F4C">
      <w:pPr>
        <w:pStyle w:val="Heading1"/>
      </w:pPr>
      <w:bookmarkStart w:id="15" w:name="O_1232788"/>
      <w:bookmarkEnd w:id="15"/>
      <w:r w:rsidRPr="006E3F4C">
        <w:t>Links</w:t>
      </w:r>
    </w:p>
    <w:p w:rsidR="00000000" w:rsidRPr="006E3F4C" w:rsidP="008449E9">
      <w:pPr>
        <w:pStyle w:val="BodyText"/>
      </w:pPr>
      <w:r w:rsidRPr="006E3F4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79B7">
        <w:rPr>
          <w:rStyle w:val="Hyperlink"/>
        </w:rPr>
        <w:t>https://vetnet.gov.au/Pages/TrainingDocs.aspx?q=df441c6e-213d-43e3-874c-0b3f7036d851</w:t>
      </w:r>
      <w:r>
        <w:fldChar w:fldCharType="end"/>
      </w:r>
    </w:p>
    <w:p w:rsidR="00000000" w:rsidRPr="006E3F4C" w:rsidP="006E3F4C"/>
    <w:sectPr w:rsidSect="006E3F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rsidRPr="008449E9" w:rsidP="00844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E9" w:rsidP="006E3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49E9" w:rsidP="006E3F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449E9" w:rsidP="006E3F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rsidP="006E3F4C">
    <w:pPr>
      <w:pStyle w:val="Footer"/>
      <w:framePr w:wrap="around"/>
    </w:pPr>
    <w:r>
      <w:fldChar w:fldCharType="begin"/>
    </w:r>
    <w:r>
      <w:instrText xml:space="preserve"> DOCPROPERTY  Subject  \* MERGEFORMAT </w:instrText>
    </w:r>
    <w:r>
      <w:fldChar w:fldCharType="separate"/>
    </w:r>
    <w:r w:rsidR="008449E9">
      <w:t>Approved</w:t>
    </w:r>
    <w:r w:rsidR="008449E9">
      <w:fldChar w:fldCharType="end"/>
    </w:r>
    <w:r>
      <w:tab/>
      <w:t xml:space="preserve">Page </w:t>
    </w:r>
    <w:r>
      <w:fldChar w:fldCharType="begin"/>
    </w:r>
    <w:r>
      <w:instrText xml:space="preserve"> PAGE  \* Arabic  \* MERGEFORMAT </w:instrText>
    </w:r>
    <w:r>
      <w:fldChar w:fldCharType="separate"/>
    </w:r>
    <w:r w:rsidR="008449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9E9">
      <w:rPr>
        <w:noProof/>
      </w:rPr>
      <w:t>6</w:t>
    </w:r>
    <w:r>
      <w:rPr>
        <w:noProof/>
      </w:rPr>
      <w:fldChar w:fldCharType="end"/>
    </w:r>
  </w:p>
  <w:p w:rsidR="006E3F4C" w:rsidP="006E3F4C">
    <w:pPr>
      <w:pStyle w:val="Footer"/>
      <w:framePr w:wrap="around"/>
    </w:pPr>
    <w:r>
      <w:t xml:space="preserve">© Commonwealth of Australia, </w:t>
    </w:r>
    <w:r>
      <w:fldChar w:fldCharType="begin"/>
    </w:r>
    <w:r>
      <w:instrText xml:space="preserve"> DATE  \@ "yyyy"  \* MERGEFORMAT </w:instrText>
    </w:r>
    <w:r>
      <w:fldChar w:fldCharType="separate"/>
    </w:r>
    <w:r w:rsidR="008449E9">
      <w:rPr>
        <w:noProof/>
      </w:rPr>
      <w:t>2025</w:t>
    </w:r>
    <w:r>
      <w:fldChar w:fldCharType="end"/>
    </w:r>
    <w:r>
      <w:tab/>
    </w:r>
    <w:r>
      <w:fldChar w:fldCharType="begin"/>
    </w:r>
    <w:r>
      <w:instrText xml:space="preserve"> DOCPROPERTY  Author  \* MERGEFORMAT </w:instrText>
    </w:r>
    <w:r>
      <w:fldChar w:fldCharType="separate"/>
    </w:r>
    <w:r w:rsidR="008449E9">
      <w:t>Industry Skills Australia</w:t>
    </w:r>
    <w:r w:rsidR="008449E9">
      <w:fldChar w:fldCharType="end"/>
    </w:r>
  </w:p>
  <w:p w:rsidR="006E3F4C" w:rsidP="006E3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F4C" w:rsidRPr="008449E9" w:rsidP="00844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E9" w:rsidRPr="002D2AF8" w:rsidP="006E3F4C">
    <w:pPr>
      <w:pStyle w:val="Header"/>
      <w:framePr w:wrap="around"/>
    </w:pPr>
    <w:r>
      <w:fldChar w:fldCharType="begin"/>
    </w:r>
    <w:r>
      <w:instrText xml:space="preserve"> TITLE   \* MERGEFORMAT </w:instrText>
    </w:r>
    <w:r>
      <w:fldChar w:fldCharType="separate"/>
    </w:r>
    <w:r>
      <w:t>TLIX0046 Apply anti-dumping and countervailing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49E9" w:rsidP="006E3F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4C" w:rsidRPr="002D2AF8" w:rsidP="006E3F4C">
    <w:pPr>
      <w:pStyle w:val="Header"/>
      <w:framePr w:wrap="around"/>
    </w:pPr>
    <w:r>
      <w:fldChar w:fldCharType="begin"/>
    </w:r>
    <w:r>
      <w:instrText xml:space="preserve"> TITLE   \* MERGEFORMAT </w:instrText>
    </w:r>
    <w:r>
      <w:fldChar w:fldCharType="separate"/>
    </w:r>
    <w:r w:rsidR="008449E9">
      <w:t>TLIX0046 Apply anti-dumping and countervailing measures</w:t>
    </w:r>
    <w:r w:rsidR="008449E9">
      <w:fldChar w:fldCharType="end"/>
    </w:r>
    <w:r>
      <w:tab/>
      <w:t xml:space="preserve">Date this document was generated: </w:t>
    </w:r>
    <w:r>
      <w:fldChar w:fldCharType="begin"/>
    </w:r>
    <w:r>
      <w:instrText xml:space="preserve"> CREATEDATE  \@ "d MMMM yyyy"  \* MERGEFORMAT </w:instrText>
    </w:r>
    <w:r>
      <w:fldChar w:fldCharType="separate"/>
    </w:r>
    <w:r w:rsidR="008449E9">
      <w:rPr>
        <w:noProof/>
      </w:rPr>
      <w:t>1 March 2025</w:t>
    </w:r>
    <w:r>
      <w:fldChar w:fldCharType="end"/>
    </w:r>
  </w:p>
  <w:p w:rsidR="006E3F4C" w:rsidP="006E3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AA5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CC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44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F4C"/>
    <w:pPr>
      <w:spacing w:before="360" w:after="60"/>
      <w:outlineLvl w:val="0"/>
    </w:pPr>
    <w:rPr>
      <w:sz w:val="32"/>
    </w:rPr>
  </w:style>
  <w:style w:type="paragraph" w:styleId="Heading2">
    <w:name w:val="heading 2"/>
    <w:basedOn w:val="HeadingBase"/>
    <w:next w:val="BodyText"/>
    <w:link w:val="Heading2Char"/>
    <w:qFormat/>
    <w:rsid w:val="006E3F4C"/>
    <w:pPr>
      <w:keepLines/>
      <w:spacing w:before="240" w:after="120"/>
      <w:outlineLvl w:val="1"/>
    </w:pPr>
    <w:rPr>
      <w:sz w:val="28"/>
      <w:szCs w:val="40"/>
    </w:rPr>
  </w:style>
  <w:style w:type="paragraph" w:styleId="Heading3">
    <w:name w:val="heading 3"/>
    <w:basedOn w:val="HeadingBase"/>
    <w:next w:val="BodyText"/>
    <w:link w:val="Heading3Char"/>
    <w:qFormat/>
    <w:rsid w:val="006E3F4C"/>
    <w:pPr>
      <w:spacing w:before="180" w:after="120"/>
      <w:outlineLvl w:val="2"/>
    </w:pPr>
    <w:rPr>
      <w:spacing w:val="-10"/>
      <w:kern w:val="32"/>
    </w:rPr>
  </w:style>
  <w:style w:type="paragraph" w:styleId="Heading4">
    <w:name w:val="heading 4"/>
    <w:basedOn w:val="HeadingBase"/>
    <w:next w:val="BodyText"/>
    <w:link w:val="Heading4Char"/>
    <w:qFormat/>
    <w:rsid w:val="006E3F4C"/>
    <w:pPr>
      <w:spacing w:before="160" w:after="120"/>
      <w:outlineLvl w:val="3"/>
    </w:pPr>
    <w:rPr>
      <w:sz w:val="22"/>
    </w:rPr>
  </w:style>
  <w:style w:type="paragraph" w:styleId="Heading5">
    <w:name w:val="heading 5"/>
    <w:basedOn w:val="HeadingBase"/>
    <w:next w:val="Normal"/>
    <w:link w:val="Heading5Char"/>
    <w:qFormat/>
    <w:rsid w:val="006E3F4C"/>
    <w:pPr>
      <w:spacing w:before="80"/>
      <w:outlineLvl w:val="4"/>
    </w:pPr>
    <w:rPr>
      <w:color w:val="918585"/>
      <w:sz w:val="20"/>
    </w:rPr>
  </w:style>
  <w:style w:type="paragraph" w:styleId="Heading6">
    <w:name w:val="heading 6"/>
    <w:basedOn w:val="HeadingBase"/>
    <w:next w:val="Normal"/>
    <w:link w:val="Heading6Char"/>
    <w:qFormat/>
    <w:rsid w:val="006E3F4C"/>
    <w:pPr>
      <w:spacing w:before="60"/>
      <w:outlineLvl w:val="5"/>
    </w:pPr>
    <w:rPr>
      <w:color w:val="918585"/>
      <w:sz w:val="20"/>
    </w:rPr>
  </w:style>
  <w:style w:type="paragraph" w:styleId="Heading7">
    <w:name w:val="heading 7"/>
    <w:basedOn w:val="Normal"/>
    <w:next w:val="Normal"/>
    <w:link w:val="Heading7Char"/>
    <w:qFormat/>
    <w:rsid w:val="006E3F4C"/>
    <w:pPr>
      <w:ind w:left="720"/>
      <w:outlineLvl w:val="6"/>
    </w:pPr>
    <w:rPr>
      <w:i/>
    </w:rPr>
  </w:style>
  <w:style w:type="paragraph" w:styleId="Heading8">
    <w:name w:val="heading 8"/>
    <w:basedOn w:val="Normal"/>
    <w:next w:val="Normal"/>
    <w:link w:val="Heading8Char"/>
    <w:qFormat/>
    <w:rsid w:val="006E3F4C"/>
    <w:pPr>
      <w:ind w:left="720"/>
      <w:outlineLvl w:val="7"/>
    </w:pPr>
    <w:rPr>
      <w:i/>
    </w:rPr>
  </w:style>
  <w:style w:type="paragraph" w:styleId="Heading9">
    <w:name w:val="heading 9"/>
    <w:basedOn w:val="Normal"/>
    <w:next w:val="Normal"/>
    <w:link w:val="Heading9Char"/>
    <w:qFormat/>
    <w:rsid w:val="006E3F4C"/>
    <w:pPr>
      <w:ind w:left="720"/>
      <w:outlineLvl w:val="8"/>
    </w:pPr>
    <w:rPr>
      <w:i/>
    </w:rPr>
  </w:style>
  <w:style w:type="character" w:default="1" w:styleId="DefaultParagraphFont">
    <w:name w:val="Default Paragraph Font"/>
    <w:uiPriority w:val="1"/>
    <w:unhideWhenUsed/>
    <w:rsid w:val="006E3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F4C"/>
  </w:style>
  <w:style w:type="character" w:customStyle="1" w:styleId="Heading1Char">
    <w:name w:val="Heading 1 Char"/>
    <w:basedOn w:val="DefaultParagraphFont"/>
    <w:link w:val="Heading1"/>
    <w:rsid w:val="006E3F4C"/>
    <w:rPr>
      <w:rFonts w:ascii="Times New Roman" w:eastAsia="Times New Roman" w:hAnsi="Times New Roman" w:cs="Times New Roman"/>
      <w:b/>
      <w:sz w:val="32"/>
      <w:szCs w:val="20"/>
      <w:lang w:eastAsia="en-US"/>
    </w:rPr>
  </w:style>
  <w:style w:type="paragraph" w:styleId="BodyText">
    <w:name w:val="Body Text"/>
    <w:basedOn w:val="Normal"/>
    <w:link w:val="BodyTextChar"/>
    <w:rsid w:val="006E3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F4C"/>
    <w:rPr>
      <w:rFonts w:ascii="Times New Roman" w:eastAsia="Times New Roman" w:hAnsi="Times New Roman" w:cs="Times New Roman"/>
      <w:sz w:val="24"/>
      <w:lang w:eastAsia="en-US"/>
    </w:rPr>
  </w:style>
  <w:style w:type="paragraph" w:styleId="ListBullet">
    <w:name w:val="List Bullet"/>
    <w:basedOn w:val="List"/>
    <w:rsid w:val="006E3F4C"/>
    <w:pPr>
      <w:numPr>
        <w:numId w:val="12"/>
      </w:numPr>
      <w:tabs>
        <w:tab w:val="clear" w:pos="340"/>
      </w:tabs>
      <w:spacing w:before="40" w:after="40"/>
    </w:pPr>
  </w:style>
  <w:style w:type="character" w:customStyle="1" w:styleId="SpecialBold">
    <w:name w:val="Special Bold"/>
    <w:basedOn w:val="DefaultParagraphFont"/>
    <w:rsid w:val="006E3F4C"/>
    <w:rPr>
      <w:b/>
      <w:spacing w:val="0"/>
    </w:rPr>
  </w:style>
  <w:style w:type="paragraph" w:styleId="ListBullet2">
    <w:name w:val="List Bullet 2"/>
    <w:basedOn w:val="List2"/>
    <w:rsid w:val="006E3F4C"/>
    <w:pPr>
      <w:numPr>
        <w:numId w:val="13"/>
      </w:numPr>
      <w:tabs>
        <w:tab w:val="clear" w:pos="680"/>
      </w:tabs>
    </w:pPr>
  </w:style>
  <w:style w:type="paragraph" w:customStyle="1" w:styleId="SuperHeading">
    <w:name w:val="SuperHeading"/>
    <w:basedOn w:val="Normal"/>
    <w:rsid w:val="006E3F4C"/>
    <w:pPr>
      <w:spacing w:before="240" w:after="120"/>
      <w:outlineLvl w:val="0"/>
    </w:pPr>
    <w:rPr>
      <w:rFonts w:ascii="Times New Roman" w:hAnsi="Times New Roman"/>
      <w:b/>
      <w:sz w:val="32"/>
    </w:rPr>
  </w:style>
  <w:style w:type="paragraph" w:customStyle="1" w:styleId="AllowPageBreak">
    <w:name w:val="AllowPageBreak"/>
    <w:rsid w:val="006E3F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3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F4C"/>
    <w:rPr>
      <w:rFonts w:ascii="Courier New" w:eastAsia="Times New Roman" w:hAnsi="Courier New" w:cs="Times New Roman"/>
      <w:i/>
      <w:szCs w:val="20"/>
      <w:lang w:eastAsia="en-US"/>
    </w:rPr>
  </w:style>
  <w:style w:type="paragraph" w:customStyle="1" w:styleId="HeadingBase">
    <w:name w:val="Heading Base"/>
    <w:rsid w:val="006E3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F4C"/>
    <w:pPr>
      <w:tabs>
        <w:tab w:val="right" w:leader="dot" w:pos="9072"/>
      </w:tabs>
      <w:ind w:left="567"/>
    </w:pPr>
    <w:rPr>
      <w:szCs w:val="22"/>
    </w:rPr>
  </w:style>
  <w:style w:type="paragraph" w:customStyle="1" w:styleId="TOCBase">
    <w:name w:val="TOC Base"/>
    <w:rsid w:val="006E3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F4C"/>
    <w:pPr>
      <w:tabs>
        <w:tab w:val="right" w:leader="dot" w:pos="9072"/>
      </w:tabs>
      <w:spacing w:before="40" w:after="40"/>
      <w:ind w:left="284"/>
    </w:pPr>
    <w:rPr>
      <w:rFonts w:ascii="Times New Roman" w:hAnsi="Times New Roman"/>
    </w:rPr>
  </w:style>
  <w:style w:type="paragraph" w:styleId="TOC1">
    <w:name w:val="toc 1"/>
    <w:basedOn w:val="TOCBase"/>
    <w:next w:val="Normal"/>
    <w:rsid w:val="006E3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F4C"/>
    <w:rPr>
      <w:rFonts w:ascii="Times New Roman" w:eastAsia="Times New Roman" w:hAnsi="Times New Roman" w:cs="Times New Roman"/>
      <w:sz w:val="16"/>
      <w:lang w:eastAsia="en-US"/>
    </w:rPr>
  </w:style>
  <w:style w:type="paragraph" w:styleId="Title">
    <w:name w:val="Title"/>
    <w:basedOn w:val="HeadingBase"/>
    <w:link w:val="TitleChar"/>
    <w:qFormat/>
    <w:rsid w:val="006E3F4C"/>
    <w:pPr>
      <w:spacing w:before="5040"/>
      <w:jc w:val="center"/>
    </w:pPr>
    <w:rPr>
      <w:sz w:val="48"/>
      <w:szCs w:val="72"/>
      <w:lang w:val="en-US"/>
    </w:rPr>
  </w:style>
  <w:style w:type="character" w:customStyle="1" w:styleId="TitleChar">
    <w:name w:val="Title Char"/>
    <w:basedOn w:val="DefaultParagraphFont"/>
    <w:link w:val="Title"/>
    <w:rsid w:val="006E3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F4C"/>
    <w:pPr>
      <w:tabs>
        <w:tab w:val="left" w:pos="3600"/>
        <w:tab w:val="left" w:pos="3958"/>
      </w:tabs>
    </w:pPr>
  </w:style>
  <w:style w:type="paragraph" w:styleId="List">
    <w:name w:val="List"/>
    <w:basedOn w:val="BodyText"/>
    <w:next w:val="BodyText"/>
    <w:rsid w:val="006E3F4C"/>
    <w:pPr>
      <w:tabs>
        <w:tab w:val="left" w:pos="340"/>
      </w:tabs>
      <w:spacing w:before="60" w:after="60"/>
      <w:ind w:left="340" w:hanging="340"/>
    </w:pPr>
  </w:style>
  <w:style w:type="paragraph" w:customStyle="1" w:styleId="Note">
    <w:name w:val="Note"/>
    <w:basedOn w:val="BodyText"/>
    <w:rsid w:val="006E3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F4C"/>
    <w:pPr>
      <w:framePr w:wrap="auto" w:hAnchor="text" w:y="6049"/>
    </w:pPr>
    <w:rPr>
      <w:color w:val="000000"/>
      <w:sz w:val="40"/>
    </w:rPr>
  </w:style>
  <w:style w:type="paragraph" w:customStyle="1" w:styleId="TOCTitle">
    <w:name w:val="TOCTitle"/>
    <w:basedOn w:val="Heading1"/>
    <w:rsid w:val="006E3F4C"/>
    <w:pPr>
      <w:spacing w:after="240"/>
      <w:jc w:val="center"/>
      <w:outlineLvl w:val="9"/>
    </w:pPr>
    <w:rPr>
      <w:caps/>
    </w:rPr>
  </w:style>
  <w:style w:type="paragraph" w:customStyle="1" w:styleId="Version">
    <w:name w:val="Version"/>
    <w:rsid w:val="006E3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F4C"/>
    <w:pPr>
      <w:keepNext w:val="0"/>
      <w:tabs>
        <w:tab w:val="right" w:pos="4176"/>
      </w:tabs>
      <w:ind w:left="198" w:hanging="198"/>
    </w:pPr>
    <w:rPr>
      <w:rFonts w:ascii="Garamond" w:hAnsi="Garamond"/>
    </w:rPr>
  </w:style>
  <w:style w:type="paragraph" w:styleId="IndexHeading">
    <w:name w:val="index heading"/>
    <w:basedOn w:val="Normal"/>
    <w:next w:val="Index1"/>
    <w:semiHidden/>
    <w:rsid w:val="006E3F4C"/>
    <w:pPr>
      <w:spacing w:before="120" w:after="120"/>
    </w:pPr>
    <w:rPr>
      <w:rFonts w:ascii="Arial" w:hAnsi="Arial"/>
      <w:b/>
      <w:color w:val="918585"/>
      <w:sz w:val="24"/>
    </w:rPr>
  </w:style>
  <w:style w:type="paragraph" w:styleId="Header">
    <w:name w:val="header"/>
    <w:basedOn w:val="Normal"/>
    <w:link w:val="HeaderChar"/>
    <w:rsid w:val="006E3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F4C"/>
    <w:rPr>
      <w:rFonts w:ascii="Times New Roman" w:eastAsia="Times New Roman" w:hAnsi="Times New Roman" w:cs="Times New Roman"/>
      <w:sz w:val="16"/>
      <w:szCs w:val="20"/>
      <w:lang w:val="en-GB" w:eastAsia="en-US"/>
    </w:rPr>
  </w:style>
  <w:style w:type="paragraph" w:customStyle="1" w:styleId="Chapter">
    <w:name w:val="Chapter"/>
    <w:basedOn w:val="Normal"/>
    <w:rsid w:val="006E3F4C"/>
    <w:pPr>
      <w:spacing w:before="240"/>
    </w:pPr>
    <w:rPr>
      <w:rFonts w:ascii="Times New Roman" w:hAnsi="Times New Roman"/>
      <w:smallCaps/>
      <w:spacing w:val="80"/>
      <w:sz w:val="28"/>
    </w:rPr>
  </w:style>
  <w:style w:type="paragraph" w:customStyle="1" w:styleId="InChapter">
    <w:name w:val="InChapter"/>
    <w:basedOn w:val="Heading3"/>
    <w:rsid w:val="006E3F4C"/>
    <w:pPr>
      <w:spacing w:after="240"/>
      <w:outlineLvl w:val="9"/>
    </w:pPr>
    <w:rPr>
      <w:noProof/>
    </w:rPr>
  </w:style>
  <w:style w:type="paragraph" w:styleId="Index2">
    <w:name w:val="index 2"/>
    <w:basedOn w:val="Normal"/>
    <w:next w:val="Normal"/>
    <w:semiHidden/>
    <w:rsid w:val="006E3F4C"/>
    <w:pPr>
      <w:tabs>
        <w:tab w:val="right" w:pos="4176"/>
      </w:tabs>
      <w:ind w:left="568" w:hanging="284"/>
    </w:pPr>
    <w:rPr>
      <w:rFonts w:ascii="Garamond" w:hAnsi="Garamond"/>
    </w:rPr>
  </w:style>
  <w:style w:type="paragraph" w:customStyle="1" w:styleId="Byline">
    <w:name w:val="Byline"/>
    <w:rsid w:val="006E3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F4C"/>
    <w:pPr>
      <w:tabs>
        <w:tab w:val="clear" w:pos="3600"/>
        <w:tab w:val="clear" w:pos="3958"/>
      </w:tabs>
      <w:jc w:val="right"/>
    </w:pPr>
  </w:style>
  <w:style w:type="character" w:styleId="Emphasis">
    <w:name w:val="Emphasis"/>
    <w:basedOn w:val="DefaultParagraphFont"/>
    <w:qFormat/>
    <w:rsid w:val="006E3F4C"/>
    <w:rPr>
      <w:i/>
    </w:rPr>
  </w:style>
  <w:style w:type="paragraph" w:styleId="Caption">
    <w:name w:val="caption"/>
    <w:basedOn w:val="BodyText"/>
    <w:next w:val="Normal"/>
    <w:qFormat/>
    <w:rsid w:val="006E3F4C"/>
    <w:pPr>
      <w:framePr w:w="2268" w:hSpace="181" w:vSpace="181" w:wrap="around" w:vAnchor="text" w:hAnchor="page" w:x="1135" w:y="285" w:anchorLock="1"/>
    </w:pPr>
    <w:rPr>
      <w:i/>
    </w:rPr>
  </w:style>
  <w:style w:type="paragraph" w:customStyle="1" w:styleId="MiniTOCTitle">
    <w:name w:val="MiniTOCTitle"/>
    <w:basedOn w:val="Heading4"/>
    <w:rsid w:val="006E3F4C"/>
    <w:pPr>
      <w:spacing w:before="240"/>
      <w:outlineLvl w:val="9"/>
    </w:pPr>
    <w:rPr>
      <w:noProof/>
      <w:sz w:val="24"/>
    </w:rPr>
  </w:style>
  <w:style w:type="paragraph" w:customStyle="1" w:styleId="MiniTOCItem">
    <w:name w:val="MiniTOCItem"/>
    <w:basedOn w:val="ListBullet"/>
    <w:rsid w:val="006E3F4C"/>
    <w:pPr>
      <w:numPr>
        <w:numId w:val="0"/>
      </w:numPr>
      <w:tabs>
        <w:tab w:val="right" w:leader="dot" w:pos="6521"/>
      </w:tabs>
      <w:spacing w:before="0" w:after="0"/>
    </w:pPr>
  </w:style>
  <w:style w:type="paragraph" w:customStyle="1" w:styleId="TOFTitle">
    <w:name w:val="TOFTitle"/>
    <w:basedOn w:val="TOCTitle"/>
    <w:rsid w:val="006E3F4C"/>
  </w:style>
  <w:style w:type="paragraph" w:styleId="TableofFigures">
    <w:name w:val="table of figures"/>
    <w:basedOn w:val="Normal"/>
    <w:next w:val="Normal"/>
    <w:semiHidden/>
    <w:rsid w:val="006E3F4C"/>
    <w:pPr>
      <w:tabs>
        <w:tab w:val="right" w:leader="dot" w:pos="9072"/>
      </w:tabs>
      <w:ind w:left="970" w:hanging="403"/>
    </w:pPr>
    <w:rPr>
      <w:rFonts w:ascii="Times New Roman" w:hAnsi="Times New Roman"/>
      <w:b/>
    </w:rPr>
  </w:style>
  <w:style w:type="paragraph" w:styleId="ListNumber">
    <w:name w:val="List Number"/>
    <w:basedOn w:val="List"/>
    <w:rsid w:val="006E3F4C"/>
    <w:pPr>
      <w:numPr>
        <w:numId w:val="15"/>
      </w:numPr>
      <w:tabs>
        <w:tab w:val="clear" w:pos="340"/>
      </w:tabs>
    </w:pPr>
  </w:style>
  <w:style w:type="character" w:customStyle="1" w:styleId="WingdingSymbols">
    <w:name w:val="Wingding Symbols"/>
    <w:rsid w:val="006E3F4C"/>
    <w:rPr>
      <w:rFonts w:ascii="Wingdings" w:hAnsi="Wingdings"/>
    </w:rPr>
  </w:style>
  <w:style w:type="paragraph" w:customStyle="1" w:styleId="TableHeading">
    <w:name w:val="Table Heading"/>
    <w:basedOn w:val="HeadingBase"/>
    <w:rsid w:val="006E3F4C"/>
    <w:pPr>
      <w:keepLines/>
      <w:pBdr>
        <w:bottom w:val="single" w:sz="6" w:space="1" w:color="918585"/>
      </w:pBdr>
      <w:spacing w:before="240"/>
    </w:pPr>
  </w:style>
  <w:style w:type="character" w:customStyle="1" w:styleId="HotSpot">
    <w:name w:val="HotSpot"/>
    <w:rsid w:val="006E3F4C"/>
    <w:rPr>
      <w:color w:val="0033CC"/>
      <w:u w:val="none"/>
    </w:rPr>
  </w:style>
  <w:style w:type="paragraph" w:customStyle="1" w:styleId="BodyTextRight">
    <w:name w:val="Body Text Right"/>
    <w:basedOn w:val="BodyText"/>
    <w:rsid w:val="006E3F4C"/>
    <w:pPr>
      <w:spacing w:before="0" w:after="0"/>
      <w:jc w:val="right"/>
    </w:pPr>
  </w:style>
  <w:style w:type="paragraph" w:styleId="Index3">
    <w:name w:val="index 3"/>
    <w:basedOn w:val="ListNumber2"/>
    <w:next w:val="Normal"/>
    <w:semiHidden/>
    <w:rsid w:val="006E3F4C"/>
    <w:pPr>
      <w:numPr>
        <w:numId w:val="0"/>
      </w:numPr>
      <w:tabs>
        <w:tab w:val="right" w:leader="dot" w:pos="4176"/>
      </w:tabs>
    </w:pPr>
  </w:style>
  <w:style w:type="paragraph" w:styleId="ListNumber2">
    <w:name w:val="List Number 2"/>
    <w:basedOn w:val="List2"/>
    <w:rsid w:val="006E3F4C"/>
    <w:pPr>
      <w:numPr>
        <w:numId w:val="10"/>
      </w:numPr>
      <w:tabs>
        <w:tab w:val="clear" w:pos="1060"/>
      </w:tabs>
    </w:pPr>
  </w:style>
  <w:style w:type="paragraph" w:customStyle="1" w:styleId="MarginNote">
    <w:name w:val="Margin Note"/>
    <w:basedOn w:val="BodyText"/>
    <w:rsid w:val="006E3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F4C"/>
    <w:rPr>
      <w:sz w:val="32"/>
    </w:rPr>
  </w:style>
  <w:style w:type="paragraph" w:customStyle="1" w:styleId="HeadingProcedure">
    <w:name w:val="Heading Procedure"/>
    <w:basedOn w:val="HeadingBase"/>
    <w:next w:val="Normal"/>
    <w:rsid w:val="006E3F4C"/>
    <w:pPr>
      <w:tabs>
        <w:tab w:val="left" w:pos="0"/>
      </w:tabs>
      <w:spacing w:before="120" w:after="60"/>
    </w:pPr>
    <w:rPr>
      <w:i/>
      <w:color w:val="918585"/>
      <w:sz w:val="22"/>
    </w:rPr>
  </w:style>
  <w:style w:type="paragraph" w:customStyle="1" w:styleId="TableBodyText">
    <w:name w:val="Table Body Text"/>
    <w:basedOn w:val="BodyText"/>
    <w:rsid w:val="006E3F4C"/>
    <w:pPr>
      <w:spacing w:before="60" w:after="60"/>
    </w:pPr>
  </w:style>
  <w:style w:type="paragraph" w:styleId="ListContinue">
    <w:name w:val="List Continue"/>
    <w:basedOn w:val="List"/>
    <w:rsid w:val="006E3F4C"/>
    <w:pPr>
      <w:ind w:firstLine="0"/>
    </w:pPr>
  </w:style>
  <w:style w:type="paragraph" w:customStyle="1" w:styleId="ListNote">
    <w:name w:val="List Note"/>
    <w:basedOn w:val="List"/>
    <w:rsid w:val="006E3F4C"/>
    <w:pPr>
      <w:pBdr>
        <w:top w:val="single" w:sz="6" w:space="2" w:color="918585"/>
        <w:bottom w:val="single" w:sz="6" w:space="2" w:color="918585"/>
      </w:pBdr>
      <w:tabs>
        <w:tab w:val="left" w:pos="1021"/>
      </w:tabs>
      <w:ind w:firstLine="0"/>
    </w:pPr>
  </w:style>
  <w:style w:type="paragraph" w:customStyle="1" w:styleId="Warning">
    <w:name w:val="Warning"/>
    <w:basedOn w:val="BodyText"/>
    <w:rsid w:val="006E3F4C"/>
    <w:pPr>
      <w:shd w:val="clear" w:color="auto" w:fill="D9D9D9"/>
      <w:tabs>
        <w:tab w:val="left" w:pos="992"/>
      </w:tabs>
      <w:ind w:left="119" w:right="119"/>
    </w:pPr>
    <w:rPr>
      <w:sz w:val="20"/>
    </w:rPr>
  </w:style>
  <w:style w:type="paragraph" w:customStyle="1" w:styleId="MarginIcons">
    <w:name w:val="Margin Icons"/>
    <w:basedOn w:val="BodyText"/>
    <w:rsid w:val="006E3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F4C"/>
    <w:rPr>
      <w:rFonts w:ascii="Courier New" w:hAnsi="Courier New"/>
    </w:rPr>
  </w:style>
  <w:style w:type="paragraph" w:customStyle="1" w:styleId="NoteBullet">
    <w:name w:val="Note Bullet"/>
    <w:basedOn w:val="Note"/>
    <w:rsid w:val="006E3F4C"/>
    <w:pPr>
      <w:tabs>
        <w:tab w:val="clear" w:pos="680"/>
      </w:tabs>
      <w:spacing w:before="60" w:after="60"/>
    </w:pPr>
  </w:style>
  <w:style w:type="paragraph" w:customStyle="1" w:styleId="SubHeading2">
    <w:name w:val="SubHeading2"/>
    <w:basedOn w:val="HeadingBase"/>
    <w:rsid w:val="006E3F4C"/>
    <w:pPr>
      <w:spacing w:before="240" w:after="60"/>
    </w:pPr>
    <w:rPr>
      <w:sz w:val="20"/>
    </w:rPr>
  </w:style>
  <w:style w:type="paragraph" w:customStyle="1" w:styleId="SubHeading1">
    <w:name w:val="SubHeading1"/>
    <w:basedOn w:val="HeadingBase"/>
    <w:rsid w:val="006E3F4C"/>
    <w:pPr>
      <w:spacing w:before="240" w:after="60"/>
    </w:pPr>
    <w:rPr>
      <w:color w:val="918585"/>
      <w:sz w:val="22"/>
    </w:rPr>
  </w:style>
  <w:style w:type="paragraph" w:customStyle="1" w:styleId="SideHeading">
    <w:name w:val="Side Heading"/>
    <w:basedOn w:val="HeadingBase"/>
    <w:rsid w:val="006E3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F4C"/>
    <w:pPr>
      <w:tabs>
        <w:tab w:val="num" w:pos="360"/>
      </w:tabs>
    </w:pPr>
  </w:style>
  <w:style w:type="paragraph" w:styleId="PlainText">
    <w:name w:val="Plain Text"/>
    <w:basedOn w:val="Normal"/>
    <w:link w:val="PlainTextChar"/>
    <w:rsid w:val="006E3F4C"/>
    <w:rPr>
      <w:sz w:val="20"/>
    </w:rPr>
  </w:style>
  <w:style w:type="character" w:customStyle="1" w:styleId="PlainTextChar">
    <w:name w:val="Plain Text Char"/>
    <w:basedOn w:val="DefaultParagraphFont"/>
    <w:link w:val="PlainText"/>
    <w:rsid w:val="006E3F4C"/>
    <w:rPr>
      <w:rFonts w:ascii="Courier New" w:eastAsia="Times New Roman" w:hAnsi="Courier New" w:cs="Times New Roman"/>
      <w:sz w:val="20"/>
      <w:szCs w:val="20"/>
      <w:lang w:eastAsia="en-US"/>
    </w:rPr>
  </w:style>
  <w:style w:type="character" w:customStyle="1" w:styleId="MenuOption">
    <w:name w:val="Menu Option"/>
    <w:basedOn w:val="DefaultParagraphFont"/>
    <w:rsid w:val="006E3F4C"/>
    <w:rPr>
      <w:b/>
      <w:smallCaps/>
    </w:rPr>
  </w:style>
  <w:style w:type="paragraph" w:customStyle="1" w:styleId="TableListNumber">
    <w:name w:val="Table List Number"/>
    <w:basedOn w:val="ListNumber"/>
    <w:rsid w:val="006E3F4C"/>
    <w:pPr>
      <w:numPr>
        <w:numId w:val="0"/>
      </w:numPr>
    </w:pPr>
  </w:style>
  <w:style w:type="paragraph" w:styleId="TOC4">
    <w:name w:val="toc 4"/>
    <w:basedOn w:val="TOCBase"/>
    <w:next w:val="Normal"/>
    <w:semiHidden/>
    <w:rsid w:val="006E3F4C"/>
    <w:pPr>
      <w:tabs>
        <w:tab w:val="right" w:leader="dot" w:pos="9071"/>
      </w:tabs>
      <w:ind w:left="1701"/>
    </w:pPr>
  </w:style>
  <w:style w:type="paragraph" w:customStyle="1" w:styleId="ListAlpha">
    <w:name w:val="List Alpha"/>
    <w:basedOn w:val="List"/>
    <w:rsid w:val="006E3F4C"/>
    <w:pPr>
      <w:numPr>
        <w:numId w:val="9"/>
      </w:numPr>
    </w:pPr>
  </w:style>
  <w:style w:type="paragraph" w:customStyle="1" w:styleId="ListAlpha2">
    <w:name w:val="List Alpha 2"/>
    <w:basedOn w:val="List2"/>
    <w:rsid w:val="006E3F4C"/>
    <w:pPr>
      <w:numPr>
        <w:numId w:val="8"/>
      </w:numPr>
    </w:pPr>
  </w:style>
  <w:style w:type="paragraph" w:styleId="List2">
    <w:name w:val="List 2"/>
    <w:basedOn w:val="BodyText"/>
    <w:rsid w:val="006E3F4C"/>
    <w:pPr>
      <w:tabs>
        <w:tab w:val="left" w:pos="680"/>
      </w:tabs>
      <w:spacing w:before="60" w:after="60"/>
      <w:ind w:left="680" w:hanging="340"/>
    </w:pPr>
  </w:style>
  <w:style w:type="paragraph" w:styleId="List3">
    <w:name w:val="List 3"/>
    <w:basedOn w:val="BodyText"/>
    <w:rsid w:val="006E3F4C"/>
    <w:pPr>
      <w:tabs>
        <w:tab w:val="left" w:pos="1021"/>
      </w:tabs>
      <w:spacing w:before="60" w:after="60"/>
      <w:ind w:left="1020" w:hanging="340"/>
    </w:pPr>
  </w:style>
  <w:style w:type="paragraph" w:styleId="List4">
    <w:name w:val="List 4"/>
    <w:basedOn w:val="BodyText"/>
    <w:rsid w:val="006E3F4C"/>
    <w:pPr>
      <w:tabs>
        <w:tab w:val="left" w:pos="1361"/>
      </w:tabs>
      <w:spacing w:before="60" w:after="60"/>
      <w:ind w:left="1361" w:hanging="340"/>
    </w:pPr>
  </w:style>
  <w:style w:type="paragraph" w:styleId="List5">
    <w:name w:val="List 5"/>
    <w:basedOn w:val="BodyText"/>
    <w:rsid w:val="006E3F4C"/>
    <w:pPr>
      <w:tabs>
        <w:tab w:val="left" w:pos="1701"/>
      </w:tabs>
      <w:spacing w:before="60" w:after="60"/>
      <w:ind w:left="1701" w:hanging="340"/>
    </w:pPr>
  </w:style>
  <w:style w:type="paragraph" w:styleId="ListBullet3">
    <w:name w:val="List Bullet 3"/>
    <w:basedOn w:val="List3"/>
    <w:rsid w:val="006E3F4C"/>
    <w:pPr>
      <w:numPr>
        <w:numId w:val="14"/>
      </w:numPr>
      <w:tabs>
        <w:tab w:val="clear" w:pos="1021"/>
      </w:tabs>
      <w:ind w:left="1037" w:hanging="357"/>
    </w:pPr>
  </w:style>
  <w:style w:type="paragraph" w:styleId="ListBullet4">
    <w:name w:val="List Bullet 4"/>
    <w:basedOn w:val="List4"/>
    <w:rsid w:val="006E3F4C"/>
    <w:pPr>
      <w:numPr>
        <w:numId w:val="3"/>
      </w:numPr>
      <w:tabs>
        <w:tab w:val="clear" w:pos="1361"/>
      </w:tabs>
    </w:pPr>
  </w:style>
  <w:style w:type="paragraph" w:styleId="ListBullet5">
    <w:name w:val="List Bullet 5"/>
    <w:basedOn w:val="List5"/>
    <w:rsid w:val="006E3F4C"/>
    <w:pPr>
      <w:numPr>
        <w:numId w:val="4"/>
      </w:numPr>
    </w:pPr>
  </w:style>
  <w:style w:type="paragraph" w:styleId="ListContinue2">
    <w:name w:val="List Continue 2"/>
    <w:basedOn w:val="List2"/>
    <w:rsid w:val="006E3F4C"/>
    <w:pPr>
      <w:ind w:firstLine="0"/>
    </w:pPr>
  </w:style>
  <w:style w:type="paragraph" w:styleId="ListContinue3">
    <w:name w:val="List Continue 3"/>
    <w:basedOn w:val="List3"/>
    <w:rsid w:val="006E3F4C"/>
    <w:pPr>
      <w:ind w:left="1021" w:firstLine="0"/>
    </w:pPr>
  </w:style>
  <w:style w:type="paragraph" w:styleId="ListContinue4">
    <w:name w:val="List Continue 4"/>
    <w:basedOn w:val="List4"/>
    <w:rsid w:val="006E3F4C"/>
    <w:pPr>
      <w:ind w:firstLine="0"/>
    </w:pPr>
  </w:style>
  <w:style w:type="paragraph" w:styleId="ListContinue5">
    <w:name w:val="List Continue 5"/>
    <w:basedOn w:val="List5"/>
    <w:rsid w:val="006E3F4C"/>
    <w:pPr>
      <w:ind w:firstLine="0"/>
    </w:pPr>
  </w:style>
  <w:style w:type="paragraph" w:styleId="ListNumber3">
    <w:name w:val="List Number 3"/>
    <w:basedOn w:val="List3"/>
    <w:rsid w:val="006E3F4C"/>
    <w:pPr>
      <w:numPr>
        <w:numId w:val="5"/>
      </w:numPr>
    </w:pPr>
  </w:style>
  <w:style w:type="paragraph" w:styleId="ListNumber4">
    <w:name w:val="List Number 4"/>
    <w:basedOn w:val="List4"/>
    <w:rsid w:val="006E3F4C"/>
    <w:pPr>
      <w:numPr>
        <w:numId w:val="6"/>
      </w:numPr>
    </w:pPr>
  </w:style>
  <w:style w:type="paragraph" w:styleId="ListNumber5">
    <w:name w:val="List Number 5"/>
    <w:basedOn w:val="List5"/>
    <w:rsid w:val="006E3F4C"/>
    <w:pPr>
      <w:numPr>
        <w:numId w:val="7"/>
      </w:numPr>
    </w:pPr>
  </w:style>
  <w:style w:type="paragraph" w:styleId="BlockText">
    <w:name w:val="Block Text"/>
    <w:basedOn w:val="Normal"/>
    <w:rsid w:val="006E3F4C"/>
    <w:pPr>
      <w:spacing w:after="120"/>
      <w:ind w:left="1440" w:right="1440"/>
    </w:pPr>
  </w:style>
  <w:style w:type="character" w:customStyle="1" w:styleId="Subscript">
    <w:name w:val="Subscript"/>
    <w:basedOn w:val="DefaultParagraphFont"/>
    <w:rsid w:val="006E3F4C"/>
    <w:rPr>
      <w:sz w:val="16"/>
      <w:vertAlign w:val="subscript"/>
    </w:rPr>
  </w:style>
  <w:style w:type="character" w:customStyle="1" w:styleId="Superscript">
    <w:name w:val="Superscript"/>
    <w:basedOn w:val="DefaultParagraphFont"/>
    <w:rsid w:val="006E3F4C"/>
    <w:rPr>
      <w:sz w:val="16"/>
      <w:vertAlign w:val="superscript"/>
    </w:rPr>
  </w:style>
  <w:style w:type="character" w:customStyle="1" w:styleId="Symbols">
    <w:name w:val="Symbols"/>
    <w:basedOn w:val="DefaultParagraphFont"/>
    <w:rsid w:val="006E3F4C"/>
    <w:rPr>
      <w:rFonts w:ascii="Symbol" w:hAnsi="Symbol"/>
    </w:rPr>
  </w:style>
  <w:style w:type="character" w:customStyle="1" w:styleId="MenuOptions">
    <w:name w:val="Menu Options"/>
    <w:basedOn w:val="DefaultParagraphFont"/>
    <w:rsid w:val="006E3F4C"/>
    <w:rPr>
      <w:rFonts w:ascii="Arial Narrow" w:hAnsi="Arial Narrow"/>
      <w:smallCaps/>
    </w:rPr>
  </w:style>
  <w:style w:type="character" w:customStyle="1" w:styleId="Buttons">
    <w:name w:val="Buttons"/>
    <w:basedOn w:val="DefaultParagraphFont"/>
    <w:rsid w:val="006E3F4C"/>
    <w:rPr>
      <w:b/>
    </w:rPr>
  </w:style>
  <w:style w:type="character" w:customStyle="1" w:styleId="Underlined">
    <w:name w:val="Underlined"/>
    <w:basedOn w:val="DefaultParagraphFont"/>
    <w:rsid w:val="006E3F4C"/>
    <w:rPr>
      <w:u w:val="single"/>
    </w:rPr>
  </w:style>
  <w:style w:type="paragraph" w:customStyle="1" w:styleId="TableBodyTextRight">
    <w:name w:val="Table Body Text Right"/>
    <w:basedOn w:val="TableBodyText"/>
    <w:rsid w:val="006E3F4C"/>
    <w:pPr>
      <w:widowControl w:val="0"/>
      <w:autoSpaceDE w:val="0"/>
      <w:autoSpaceDN w:val="0"/>
      <w:adjustRightInd w:val="0"/>
      <w:jc w:val="right"/>
    </w:pPr>
    <w:rPr>
      <w:rFonts w:cs="Arial"/>
      <w:szCs w:val="18"/>
    </w:rPr>
  </w:style>
  <w:style w:type="paragraph" w:customStyle="1" w:styleId="CopyrightText">
    <w:name w:val="Copyright Text"/>
    <w:basedOn w:val="BodyText"/>
    <w:rsid w:val="006E3F4C"/>
    <w:rPr>
      <w:sz w:val="18"/>
    </w:rPr>
  </w:style>
  <w:style w:type="paragraph" w:customStyle="1" w:styleId="BodySmallRight">
    <w:name w:val="Body Small Right"/>
    <w:basedOn w:val="BodyTextRight"/>
    <w:rsid w:val="006E3F4C"/>
    <w:rPr>
      <w:sz w:val="18"/>
      <w:szCs w:val="18"/>
    </w:rPr>
  </w:style>
  <w:style w:type="paragraph" w:customStyle="1" w:styleId="MarginEdition">
    <w:name w:val="Margin Edition"/>
    <w:basedOn w:val="MarginNote"/>
    <w:rsid w:val="006E3F4C"/>
    <w:pPr>
      <w:spacing w:before="0" w:after="0"/>
    </w:pPr>
    <w:rPr>
      <w:rFonts w:ascii="Times New Roman" w:hAnsi="Times New Roman"/>
      <w:color w:val="999999"/>
    </w:rPr>
  </w:style>
  <w:style w:type="paragraph" w:customStyle="1" w:styleId="Spacer">
    <w:name w:val="Spacer"/>
    <w:basedOn w:val="Normal"/>
    <w:rsid w:val="006E3F4C"/>
    <w:rPr>
      <w:sz w:val="2"/>
      <w:szCs w:val="2"/>
    </w:rPr>
  </w:style>
  <w:style w:type="character" w:customStyle="1" w:styleId="Small">
    <w:name w:val="Small"/>
    <w:basedOn w:val="DefaultParagraphFont"/>
    <w:rsid w:val="006E3F4C"/>
    <w:rPr>
      <w:sz w:val="16"/>
    </w:rPr>
  </w:style>
  <w:style w:type="paragraph" w:customStyle="1" w:styleId="WideTable">
    <w:name w:val="Wide Table"/>
    <w:basedOn w:val="Normal"/>
    <w:rsid w:val="006E3F4C"/>
    <w:pPr>
      <w:ind w:left="-1418"/>
    </w:pPr>
    <w:rPr>
      <w:sz w:val="2"/>
      <w:szCs w:val="2"/>
    </w:rPr>
  </w:style>
  <w:style w:type="character" w:styleId="PageNumber">
    <w:name w:val="page number"/>
    <w:basedOn w:val="DefaultParagraphFont"/>
    <w:rsid w:val="006E3F4C"/>
  </w:style>
  <w:style w:type="paragraph" w:styleId="Quote">
    <w:name w:val="Quote"/>
    <w:basedOn w:val="Heading1"/>
    <w:link w:val="QuoteChar"/>
    <w:qFormat/>
    <w:rsid w:val="006E3F4C"/>
    <w:rPr>
      <w:b w:val="0"/>
      <w:sz w:val="72"/>
      <w:szCs w:val="72"/>
      <w:lang w:val="en-NZ"/>
    </w:rPr>
  </w:style>
  <w:style w:type="character" w:customStyle="1" w:styleId="QuoteChar">
    <w:name w:val="Quote Char"/>
    <w:basedOn w:val="DefaultParagraphFont"/>
    <w:link w:val="Quote"/>
    <w:rsid w:val="006E3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F4C"/>
    <w:pPr>
      <w:pageBreakBefore/>
    </w:pPr>
  </w:style>
  <w:style w:type="paragraph" w:customStyle="1" w:styleId="Border">
    <w:name w:val="Border"/>
    <w:basedOn w:val="Normal"/>
    <w:qFormat/>
    <w:rsid w:val="006E3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F4C"/>
    <w:rPr>
      <w:b/>
      <w:bCs/>
      <w:i/>
      <w:iCs/>
      <w:color w:val="auto"/>
    </w:rPr>
  </w:style>
  <w:style w:type="paragraph" w:styleId="IntenseQuote">
    <w:name w:val="Intense Quote"/>
    <w:basedOn w:val="Normal"/>
    <w:next w:val="Normal"/>
    <w:link w:val="IntenseQuoteChar"/>
    <w:uiPriority w:val="30"/>
    <w:qFormat/>
    <w:rsid w:val="006E3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F4C"/>
    <w:rPr>
      <w:smallCaps/>
      <w:color w:val="auto"/>
      <w:u w:val="single"/>
    </w:rPr>
  </w:style>
  <w:style w:type="character" w:styleId="IntenseReference">
    <w:name w:val="Intense Reference"/>
    <w:basedOn w:val="DefaultParagraphFont"/>
    <w:uiPriority w:val="32"/>
    <w:qFormat/>
    <w:rsid w:val="006E3F4C"/>
    <w:rPr>
      <w:b/>
      <w:bCs/>
      <w:smallCaps/>
      <w:color w:val="auto"/>
      <w:spacing w:val="5"/>
      <w:u w:val="single"/>
    </w:rPr>
  </w:style>
  <w:style w:type="paragraph" w:customStyle="1" w:styleId="2ColumnHeading">
    <w:name w:val="2Column Heading"/>
    <w:basedOn w:val="BodyText"/>
    <w:qFormat/>
    <w:rsid w:val="006E3F4C"/>
    <w:pPr>
      <w:spacing w:after="60"/>
      <w:ind w:left="-2268"/>
    </w:pPr>
    <w:rPr>
      <w:b/>
    </w:rPr>
  </w:style>
  <w:style w:type="paragraph" w:customStyle="1" w:styleId="Heading1TOC">
    <w:name w:val="Heading1 TOC"/>
    <w:basedOn w:val="Normal"/>
    <w:qFormat/>
    <w:rsid w:val="006E3F4C"/>
    <w:pPr>
      <w:spacing w:before="240" w:after="120"/>
    </w:pPr>
    <w:rPr>
      <w:rFonts w:ascii="Times New Roman" w:hAnsi="Times New Roman"/>
      <w:b/>
      <w:sz w:val="32"/>
    </w:rPr>
  </w:style>
  <w:style w:type="paragraph" w:customStyle="1" w:styleId="Heading2TOC">
    <w:name w:val="Heading2 TOC"/>
    <w:basedOn w:val="Normal"/>
    <w:qFormat/>
    <w:rsid w:val="006E3F4C"/>
    <w:pPr>
      <w:spacing w:before="240" w:after="60"/>
    </w:pPr>
    <w:rPr>
      <w:rFonts w:ascii="Times New Roman" w:hAnsi="Times New Roman"/>
      <w:b/>
      <w:sz w:val="28"/>
    </w:rPr>
  </w:style>
  <w:style w:type="character" w:customStyle="1" w:styleId="Underline">
    <w:name w:val="Underline"/>
    <w:basedOn w:val="DefaultParagraphFont"/>
    <w:qFormat/>
    <w:rsid w:val="006E3F4C"/>
    <w:rPr>
      <w:u w:val="single"/>
    </w:rPr>
  </w:style>
  <w:style w:type="character" w:customStyle="1" w:styleId="BoldandItalics">
    <w:name w:val="Bold and Italics"/>
    <w:qFormat/>
    <w:rsid w:val="006E3F4C"/>
    <w:rPr>
      <w:b/>
      <w:i/>
      <w:u w:val="none"/>
    </w:rPr>
  </w:style>
  <w:style w:type="paragraph" w:styleId="BalloonText">
    <w:name w:val="Balloon Text"/>
    <w:basedOn w:val="Normal"/>
    <w:link w:val="BalloonTextChar"/>
    <w:rsid w:val="006E3F4C"/>
    <w:rPr>
      <w:rFonts w:ascii="Tahoma" w:hAnsi="Tahoma" w:cs="Tahoma"/>
      <w:sz w:val="16"/>
      <w:szCs w:val="16"/>
    </w:rPr>
  </w:style>
  <w:style w:type="character" w:customStyle="1" w:styleId="BalloonTextChar">
    <w:name w:val="Balloon Text Char"/>
    <w:basedOn w:val="DefaultParagraphFont"/>
    <w:link w:val="BalloonText"/>
    <w:rsid w:val="006E3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F4C"/>
    <w:rPr>
      <w:b/>
      <w:color w:val="660033"/>
      <w:spacing w:val="0"/>
    </w:rPr>
  </w:style>
  <w:style w:type="paragraph" w:customStyle="1" w:styleId="Nameditemlist">
    <w:name w:val="Named item list"/>
    <w:basedOn w:val="BodyText"/>
    <w:qFormat/>
    <w:rsid w:val="006E3F4C"/>
    <w:pPr>
      <w:tabs>
        <w:tab w:val="left" w:pos="2835"/>
      </w:tabs>
      <w:ind w:left="2835" w:hanging="2835"/>
    </w:pPr>
  </w:style>
  <w:style w:type="paragraph" w:customStyle="1" w:styleId="BodyTextnopadding">
    <w:name w:val="Body Text no padding"/>
    <w:basedOn w:val="BodyText"/>
    <w:qFormat/>
    <w:rsid w:val="006E3F4C"/>
    <w:pPr>
      <w:spacing w:before="0" w:after="0"/>
    </w:pPr>
  </w:style>
  <w:style w:type="paragraph" w:customStyle="1" w:styleId="BodyTextBold">
    <w:name w:val="Body Text Bold"/>
    <w:basedOn w:val="BodyText"/>
    <w:qFormat/>
    <w:rsid w:val="006E3F4C"/>
    <w:rPr>
      <w:b/>
    </w:rPr>
  </w:style>
  <w:style w:type="character" w:styleId="Hyperlink">
    <w:name w:val="Hyperlink"/>
    <w:basedOn w:val="DefaultParagraphFont"/>
    <w:uiPriority w:val="99"/>
    <w:unhideWhenUsed/>
    <w:rsid w:val="00844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860</Words>
  <Characters>5714</Characters>
  <Application>Microsoft Office Word</Application>
  <DocSecurity>0</DocSecurity>
  <Lines>272</Lines>
  <Paragraphs>136</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TLIX0046 Apply anti-dumping and countervailing measures</dc:title>
  <dc:subject>Approved</dc:subject>
  <dc:creator>Industry Skills Australia</dc:creator>
  <cp:keywords>Release: 1</cp:keywords>
  <dc:description>Review Date: 12 April 2008</dc:description>
  <cp:lastModifiedBy>HSD_TPCMSd.prod</cp:lastModifiedBy>
  <cp:revision>3</cp:revision>
  <dcterms:created xsi:type="dcterms:W3CDTF">2025-03-01T09:23:00Z</dcterms:created>
  <dcterms:modified xsi:type="dcterms:W3CDTF">2025-03-01T09:23:00Z</dcterms:modified>
</cp:coreProperties>
</file>