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14A" w:rsidP="00A46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TLIX0045 Determine import/export prohibitions/restrictions</w:t>
      </w:r>
      <w:r>
        <w:fldChar w:fldCharType="end"/>
      </w:r>
    </w:p>
    <w:p w:rsidR="00A4614A" w:rsidP="00A4614A">
      <w:pPr>
        <w:pStyle w:val="Version"/>
        <w:sectPr w:rsidSect="00C308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8A0" w:rsidP="00C308A0">
      <w:pPr>
        <w:pStyle w:val="SuperHeading"/>
      </w:pPr>
      <w:r w:rsidRPr="00C308A0">
        <w:t>TLIX0045 Determine import/export prohibitions/restrictions</w:t>
      </w:r>
    </w:p>
    <w:p w:rsidR="00000000" w:rsidRPr="00C308A0" w:rsidP="00C308A0">
      <w:pPr>
        <w:pStyle w:val="Heading1"/>
      </w:pPr>
      <w:bookmarkStart w:id="1" w:name="O_1232753"/>
      <w:bookmarkEnd w:id="1"/>
      <w:r w:rsidRPr="00C308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rPr>
                <w:rStyle w:val="SpecialBold"/>
              </w:rPr>
              <w:t>Release 1</w:t>
            </w:r>
            <w:r w:rsidRPr="00C308A0">
              <w:t>. This is the first release of this unit of competency in the TLI Transport and Logistics Training Package.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2" w:name="O_1232754"/>
      <w:bookmarkEnd w:id="2"/>
      <w:r w:rsidRPr="00C308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>This unit involves the skills and knowledge required to apply perm</w:t>
            </w:r>
            <w:r w:rsidRPr="00C308A0">
              <w:t xml:space="preserve">it requirements as part of customs broking activities in accordance with the current Australian Customs Act as amended and other relevant legislation. </w:t>
            </w:r>
          </w:p>
          <w:p w:rsidR="00000000" w:rsidRPr="00C308A0" w:rsidP="00C308A0">
            <w:pPr>
              <w:pStyle w:val="BodyText"/>
            </w:pPr>
            <w:r w:rsidRPr="00C308A0">
              <w:t>It includes identifying goods subject to import/export restrictions and/or prohibitions, identifying req</w:t>
            </w:r>
            <w:r w:rsidRPr="00C308A0">
              <w:t xml:space="preserve">uired permits, assessing permits for compliance, and facilitating the gaining of such permits. </w:t>
            </w:r>
          </w:p>
          <w:p w:rsidR="00000000" w:rsidRPr="00C308A0" w:rsidP="00C308A0">
            <w:pPr>
              <w:pStyle w:val="BodyText"/>
            </w:pPr>
            <w:r w:rsidRPr="00C308A0">
              <w:t xml:space="preserve">This unit applies to individuals working as a customs broker. </w:t>
            </w:r>
          </w:p>
          <w:p w:rsidR="00000000" w:rsidRPr="00C308A0" w:rsidP="00C308A0">
            <w:pPr>
              <w:pStyle w:val="BodyText"/>
            </w:pPr>
            <w:r w:rsidRPr="00C308A0">
              <w:t>Work is undertaken in a range of environments, including small to large worksites, in the customs</w:t>
            </w:r>
            <w:r w:rsidRPr="00C308A0">
              <w:t xml:space="preserve"> broking and international supply chain industries.</w:t>
            </w:r>
          </w:p>
          <w:p w:rsidR="00000000" w:rsidRPr="00C308A0" w:rsidP="00C308A0">
            <w:pPr>
              <w:pStyle w:val="BodyText"/>
            </w:pPr>
            <w:r w:rsidRPr="00C308A0">
              <w:t>No licensing, legislative or certification requirements apply to this unit at the time of publication.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3" w:name="O_1232755"/>
      <w:bookmarkEnd w:id="3"/>
      <w:r w:rsidRPr="00C308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>Not applicable.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4" w:name="O_1232756"/>
      <w:bookmarkEnd w:id="4"/>
      <w:r w:rsidRPr="00C308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>X –</w:t>
            </w:r>
            <w:r w:rsidRPr="00C308A0">
              <w:t xml:space="preserve"> Logistics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5" w:name="O_1232757"/>
      <w:bookmarkEnd w:id="5"/>
      <w:r w:rsidRPr="00C308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>Customs Broking.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6" w:name="O_1232758"/>
      <w:bookmarkEnd w:id="6"/>
      <w:r w:rsidRPr="00C308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5"/>
        <w:gridCol w:w="1766"/>
        <w:gridCol w:w="623"/>
        <w:gridCol w:w="2583"/>
        <w:gridCol w:w="2649"/>
        <w:gridCol w:w="645"/>
      </w:tblGrid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rPr>
                <w:rStyle w:val="SpecialBold"/>
              </w:rPr>
              <w:t>ELEMENTS</w:t>
            </w: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rPr>
                <w:rStyle w:val="SpecialBold"/>
              </w:rPr>
              <w:t>PERFORMANCE CRITERIA</w:t>
            </w:r>
          </w:p>
        </w:tc>
      </w:tr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Elements describe the essential outcomes.</w:t>
            </w: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Performance criteria describe the performance needed to demonstrate achievement of the element.</w:t>
            </w:r>
          </w:p>
        </w:tc>
      </w:tr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rPr>
                <w:rStyle w:val="SpecialBold"/>
              </w:rPr>
              <w:t>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rPr>
                <w:rStyle w:val="SpecialBold"/>
              </w:rPr>
              <w:t>Apply import/export restrictions and/or prohibitions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rPr>
                <w:rStyle w:val="SpecialBold"/>
              </w:rPr>
              <w:t>1.1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Goods subject to import or export prohibitions and/or restrictions are identified</w:t>
            </w:r>
          </w:p>
        </w:tc>
      </w:tr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rPr>
                <w:rStyle w:val="SpecialBold"/>
              </w:rPr>
              <w:t>1.2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Type and requirement of import or export prohibitions and/or restrictions are identified</w:t>
            </w:r>
          </w:p>
        </w:tc>
      </w:tr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rPr>
                <w:rStyle w:val="SpecialBold"/>
              </w:rPr>
              <w:t>1.3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Goods subject to import or export prohibition and/or restrictions are assessed for compliance under the relevant restrictions/permit requirements</w:t>
            </w:r>
          </w:p>
        </w:tc>
      </w:tr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rPr>
                <w:rStyle w:val="SpecialBold"/>
              </w:rPr>
              <w:t>1.4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Permi</w:t>
            </w:r>
            <w:r w:rsidRPr="00C308A0">
              <w:t>t is validated as required</w:t>
            </w:r>
          </w:p>
        </w:tc>
      </w:tr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rPr>
                <w:rStyle w:val="SpecialBold"/>
              </w:rPr>
              <w:t>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rPr>
                <w:rStyle w:val="SpecialBold"/>
              </w:rPr>
              <w:t>Review</w:t>
            </w:r>
            <w:r w:rsidRPr="00C308A0">
              <w:t xml:space="preserve"> p</w:t>
            </w:r>
            <w:r w:rsidRPr="00C308A0">
              <w:rPr>
                <w:rStyle w:val="SpecialBold"/>
              </w:rPr>
              <w:t>ermit applications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rPr>
                <w:rStyle w:val="SpecialBold"/>
              </w:rPr>
              <w:t>2.1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Awareness of permits and/or licence restrictions requirements are applied</w:t>
            </w:r>
          </w:p>
        </w:tc>
      </w:tr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rPr>
                <w:rStyle w:val="SpecialBold"/>
              </w:rPr>
              <w:t>2.2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Issued permit is reviewed to ensure compliance with regulatory requirements and client requirements</w:t>
            </w:r>
          </w:p>
        </w:tc>
      </w:tr>
      <w:tr w:rsidTr="00C30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45" w:type="dxa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rPr>
                <w:rStyle w:val="SpecialBold"/>
              </w:rPr>
              <w:t>2.</w:t>
            </w:r>
            <w:r w:rsidRPr="00C308A0">
              <w:t>3</w:t>
            </w:r>
          </w:p>
        </w:tc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>Issued permit conditions and goods are aligned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7" w:name="O_1232759"/>
      <w:bookmarkEnd w:id="7"/>
      <w:r w:rsidRPr="00C308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>Foundation skills essential to performance are explicit in the performance criteria of this unit of competency.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8" w:name="O_1232760"/>
      <w:bookmarkEnd w:id="8"/>
      <w:r w:rsidRPr="00C308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>Range is restricted to essential operating conditions and any other variables essential to the work environment.</w:t>
            </w:r>
          </w:p>
          <w:p w:rsidR="00000000" w:rsidRPr="00C308A0" w:rsidP="00C308A0">
            <w:pPr>
              <w:pStyle w:val="BodyText"/>
            </w:pPr>
            <w:r w:rsidRPr="00C308A0">
              <w:t>Non-essential conditions can be found in the TLI Transport and Logistics Training Package Companion Volume Implementation Guide.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9" w:name="O_1232761"/>
      <w:bookmarkEnd w:id="9"/>
      <w:r w:rsidRPr="00C308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>This unit replaces but is not equivalent to TLIX5048 Determine import and/or export prohibitions and/or restrictions.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10" w:name="O_1232768"/>
      <w:bookmarkEnd w:id="10"/>
      <w:r w:rsidRPr="00C308A0">
        <w:t>Links</w:t>
      </w:r>
    </w:p>
    <w:p w:rsidR="00000000" w:rsidRPr="00C308A0" w:rsidP="00A4614A">
      <w:pPr>
        <w:pStyle w:val="BodyText"/>
      </w:pPr>
      <w:r w:rsidRPr="00C308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69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08A0" w:rsidP="00A4614A">
      <w:pPr>
        <w:pStyle w:val="BodyText"/>
        <w:sectPr w:rsidSect="00C308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08A0" w:rsidP="00C308A0">
      <w:pPr>
        <w:pStyle w:val="SuperHeading"/>
      </w:pPr>
      <w:r w:rsidRPr="00C308A0">
        <w:t>Assessment Requirements for TLIX0045 Determine import/export prohibitions/restrictions</w:t>
      </w:r>
    </w:p>
    <w:p w:rsidR="00000000" w:rsidRPr="00C308A0" w:rsidP="00C308A0">
      <w:pPr>
        <w:pStyle w:val="Heading1"/>
      </w:pPr>
      <w:bookmarkStart w:id="11" w:name="O_1232763"/>
      <w:bookmarkEnd w:id="11"/>
      <w:r w:rsidRPr="00C308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rPr>
                <w:rStyle w:val="SpecialBold"/>
              </w:rPr>
              <w:t>Release 1</w:t>
            </w:r>
            <w:r w:rsidRPr="00C308A0">
              <w:t>. This is the first release of this unit of competency in the TLI Transport and Logistics Training Package.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12" w:name="O_1232764"/>
      <w:bookmarkEnd w:id="12"/>
      <w:r w:rsidRPr="00C308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Evidence required to demonstrate competence in this unit must be relevant to and satisfy all of the requi</w:t>
            </w:r>
            <w:r w:rsidRPr="00C308A0">
              <w:t>rements of the elements and performance criteria on at least one occasion and include:</w:t>
            </w:r>
          </w:p>
        </w:tc>
      </w:tr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ListBullet"/>
            </w:pPr>
            <w:r w:rsidRPr="00C308A0">
              <w:t>identifying goods, consignors, suppliers or consignments subject to import and/or export prohibitions and/or restrictions</w:t>
            </w:r>
          </w:p>
          <w:p w:rsidR="00000000" w:rsidRPr="00C308A0" w:rsidP="00C308A0">
            <w:pPr>
              <w:pStyle w:val="ListBullet"/>
            </w:pPr>
            <w:r w:rsidRPr="00C308A0">
              <w:t>identifying valid permits</w:t>
            </w:r>
          </w:p>
          <w:p w:rsidR="00000000" w:rsidRPr="00C308A0" w:rsidP="00C308A0">
            <w:pPr>
              <w:pStyle w:val="ListBullet"/>
            </w:pPr>
            <w:r w:rsidRPr="00C308A0">
              <w:t>interpreting appropriate Acts and regulations</w:t>
            </w:r>
          </w:p>
          <w:p w:rsidR="00000000" w:rsidRPr="00C308A0" w:rsidP="00C308A0">
            <w:pPr>
              <w:pStyle w:val="ListBullet"/>
            </w:pPr>
            <w:r w:rsidRPr="00C308A0">
              <w:t>verifying goods/consignments meet requirements of permit and/or any import or export restrictions.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13" w:name="O_1232765"/>
      <w:bookmarkEnd w:id="13"/>
      <w:r w:rsidRPr="00C308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0">
            <w:pPr>
              <w:pStyle w:val="BodyText"/>
              <w:rPr>
                <w:lang w:val="en-NZ"/>
              </w:rPr>
            </w:pPr>
            <w:r w:rsidRPr="00C308A0">
              <w:t>Evidence required to demonstrate competence in this unit must be relev</w:t>
            </w:r>
            <w:r w:rsidRPr="00C308A0">
              <w:t>ant to and satisfy all of the requirements of the elements and performance criteria and include knowledge of:</w:t>
            </w:r>
          </w:p>
        </w:tc>
      </w:tr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ListBullet"/>
            </w:pPr>
            <w:r w:rsidRPr="00C308A0">
              <w:t>relevant Acts and regulations including:</w:t>
            </w:r>
          </w:p>
          <w:p w:rsidR="00000000" w:rsidRPr="00C308A0" w:rsidP="00C308A0">
            <w:pPr>
              <w:pStyle w:val="ListBullet2"/>
            </w:pPr>
            <w:r w:rsidRPr="00C308A0">
              <w:t>Australian Industrial Chemicals Introduction Scheme (AICIS)</w:t>
            </w:r>
          </w:p>
          <w:p w:rsidR="00000000" w:rsidRPr="00C308A0" w:rsidP="00C308A0">
            <w:pPr>
              <w:pStyle w:val="ListBullet2"/>
            </w:pPr>
            <w:r w:rsidRPr="00C308A0">
              <w:t>Australian Radiation Protection and Nuclear Safety Agency</w:t>
            </w:r>
          </w:p>
          <w:p w:rsidR="00000000" w:rsidRPr="00C308A0" w:rsidP="00C308A0">
            <w:pPr>
              <w:pStyle w:val="ListBullet2"/>
            </w:pPr>
            <w:r w:rsidRPr="00C308A0">
              <w:t>biosecurity and other legislation relevant to import and/or export prohibitions and restrictions</w:t>
            </w:r>
          </w:p>
          <w:p w:rsidR="00000000" w:rsidRPr="00C308A0" w:rsidP="00C308A0">
            <w:pPr>
              <w:pStyle w:val="ListBullet2"/>
            </w:pPr>
            <w:r w:rsidRPr="00C308A0">
              <w:t>Commerce (Trade Descriptions) Act</w:t>
            </w:r>
          </w:p>
          <w:p w:rsidR="00000000" w:rsidRPr="00C308A0" w:rsidP="00C308A0">
            <w:pPr>
              <w:pStyle w:val="ListBullet2"/>
            </w:pPr>
            <w:r w:rsidRPr="00C308A0">
              <w:t>Commerce (Trade Descriptions) Regulations</w:t>
            </w:r>
          </w:p>
          <w:p w:rsidR="00000000" w:rsidRPr="00C308A0" w:rsidP="00C308A0">
            <w:pPr>
              <w:pStyle w:val="ListBullet2"/>
            </w:pPr>
            <w:r w:rsidRPr="00C308A0">
              <w:t>Convention on Internation</w:t>
            </w:r>
            <w:r w:rsidRPr="00C308A0">
              <w:t>al Trade in Endangered Species (CITES) listings</w:t>
            </w:r>
          </w:p>
          <w:p w:rsidR="00000000" w:rsidRPr="00C308A0" w:rsidP="00C308A0">
            <w:pPr>
              <w:pStyle w:val="ListBullet2"/>
            </w:pPr>
            <w:r w:rsidRPr="00C308A0">
              <w:t xml:space="preserve">Customs (Prohibited Exports) Regulations </w:t>
            </w:r>
          </w:p>
          <w:p w:rsidR="00000000" w:rsidRPr="00C308A0" w:rsidP="00C308A0">
            <w:pPr>
              <w:pStyle w:val="ListBullet2"/>
            </w:pPr>
            <w:r w:rsidRPr="00C308A0">
              <w:t xml:space="preserve">Customs (Prohibited Imports) Regulations </w:t>
            </w:r>
          </w:p>
          <w:p w:rsidR="00000000" w:rsidRPr="00C308A0" w:rsidP="00C308A0">
            <w:pPr>
              <w:pStyle w:val="ListBullet2"/>
            </w:pPr>
            <w:r w:rsidRPr="00C308A0">
              <w:t>Customs Act</w:t>
            </w:r>
          </w:p>
          <w:p w:rsidR="00000000" w:rsidRPr="00C308A0" w:rsidP="00C308A0">
            <w:pPr>
              <w:pStyle w:val="ListBullet2"/>
            </w:pPr>
            <w:r w:rsidRPr="00C308A0">
              <w:t>Defence and Strategic Goods List including dual use goods</w:t>
            </w:r>
          </w:p>
          <w:p w:rsidR="00000000" w:rsidRPr="00C308A0" w:rsidP="00C308A0">
            <w:pPr>
              <w:pStyle w:val="ListBullet2"/>
            </w:pPr>
            <w:r w:rsidRPr="00C308A0">
              <w:t>Imported Food Control Act including Imported Food Insp</w:t>
            </w:r>
            <w:r w:rsidRPr="00C308A0">
              <w:t>ection Scheme (IFIS)</w:t>
            </w:r>
          </w:p>
          <w:p w:rsidR="00000000" w:rsidRPr="00C308A0" w:rsidP="00C308A0">
            <w:pPr>
              <w:pStyle w:val="ListBullet2"/>
            </w:pPr>
            <w:r w:rsidRPr="00C308A0">
              <w:t>Therapeutic Goods Administration (TGA)</w:t>
            </w:r>
          </w:p>
          <w:p w:rsidR="00000000" w:rsidRPr="00C308A0" w:rsidP="00C308A0">
            <w:pPr>
              <w:pStyle w:val="ListBullet2"/>
            </w:pPr>
            <w:r w:rsidRPr="00C308A0">
              <w:t>Wine Australia</w:t>
            </w:r>
          </w:p>
          <w:p w:rsidR="00000000" w:rsidRPr="00C308A0" w:rsidP="00C308A0">
            <w:pPr>
              <w:pStyle w:val="ListBullet"/>
            </w:pPr>
            <w:r w:rsidRPr="00C308A0">
              <w:t>relevant permit procedures and guidelines.</w:t>
            </w:r>
          </w:p>
        </w:tc>
      </w:tr>
    </w:tbl>
    <w:p w:rsidR="00000000" w:rsidRPr="00C308A0" w:rsidP="00C308A0">
      <w:pPr>
        <w:pStyle w:val="BodyText"/>
      </w:pPr>
    </w:p>
    <w:p w:rsidR="00000000" w:rsidRPr="00C308A0" w:rsidP="00C308A0">
      <w:pPr>
        <w:pStyle w:val="AllowPageBreak"/>
      </w:pPr>
    </w:p>
    <w:p w:rsidR="00000000" w:rsidRPr="00C308A0" w:rsidP="00C308A0">
      <w:pPr>
        <w:pStyle w:val="Heading1"/>
      </w:pPr>
      <w:bookmarkStart w:id="14" w:name="O_1232766"/>
      <w:bookmarkEnd w:id="14"/>
      <w:r w:rsidRPr="00C308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0" w:rsidP="00C308A0">
            <w:pPr>
              <w:pStyle w:val="BodyText"/>
            </w:pPr>
            <w:r w:rsidRPr="00C308A0">
              <w:t xml:space="preserve">Assessors must hold credentials specified within the Standards for Registered Training Organisations current at the time of assessment. </w:t>
            </w:r>
          </w:p>
          <w:p w:rsidR="00000000" w:rsidRPr="00C308A0" w:rsidP="00C308A0">
            <w:pPr>
              <w:pStyle w:val="BodyText"/>
            </w:pPr>
            <w:r w:rsidRPr="00C308A0">
              <w:t>Assessment must satisfy the Principles of Assessment and Rules of Evidence and all regulatory requirements included wit</w:t>
            </w:r>
            <w:r w:rsidRPr="00C308A0">
              <w:t>hin the Standards for Registered Training Organisations current at the time of assessment.</w:t>
            </w:r>
          </w:p>
          <w:p w:rsidR="00000000" w:rsidRPr="00C308A0" w:rsidP="00C308A0">
            <w:pPr>
              <w:pStyle w:val="BodyText"/>
            </w:pPr>
            <w:r w:rsidRPr="00C308A0">
              <w:t>Assessment must occur in workplace operational situations where it is appropriate to do so; where this is not appropriate, assessment must occur in simulated workpla</w:t>
            </w:r>
            <w:r w:rsidRPr="00C308A0">
              <w:t xml:space="preserve">ce operational situations that replicate workplace conditions. </w:t>
            </w:r>
          </w:p>
          <w:p w:rsidR="00000000" w:rsidRPr="00C308A0" w:rsidP="00C308A0">
            <w:pPr>
              <w:pStyle w:val="BodyText"/>
            </w:pPr>
            <w:r w:rsidRPr="00C308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308A0" w:rsidP="00C308A0">
            <w:pPr>
              <w:pStyle w:val="BodyText"/>
            </w:pPr>
            <w:r w:rsidRPr="00C308A0">
              <w:t>Resources for assessment</w:t>
            </w:r>
            <w:r w:rsidRPr="00C308A0">
              <w:t xml:space="preserve"> must include access to:</w:t>
            </w:r>
          </w:p>
          <w:p w:rsidR="00000000" w:rsidRPr="00C308A0" w:rsidP="00C308A0">
            <w:pPr>
              <w:pStyle w:val="ListBullet"/>
            </w:pPr>
            <w:r w:rsidRPr="00C308A0">
              <w:t>a range of relevant exercises, case studies and/or simulations</w:t>
            </w:r>
          </w:p>
          <w:p w:rsidR="00000000" w:rsidRPr="00C308A0" w:rsidP="00C308A0">
            <w:pPr>
              <w:pStyle w:val="ListBullet"/>
            </w:pPr>
            <w:r w:rsidRPr="00C308A0">
              <w:t>applicable documentation, including workplace procedures, regulations, codes of practice and operation manuals.</w:t>
            </w:r>
          </w:p>
        </w:tc>
      </w:tr>
    </w:tbl>
    <w:p w:rsidR="00A4614A" w:rsidP="00C308A0">
      <w:pPr>
        <w:pStyle w:val="NoPaddingFontSize1"/>
      </w:pPr>
    </w:p>
    <w:p w:rsidR="00A4614A" w:rsidP="00C308A0">
      <w:pPr>
        <w:pStyle w:val="NoPaddingFontSize1"/>
      </w:pPr>
    </w:p>
    <w:p w:rsidR="00000000" w:rsidRPr="00C308A0" w:rsidP="00C308A0">
      <w:pPr>
        <w:pStyle w:val="Heading1"/>
      </w:pPr>
      <w:bookmarkStart w:id="15" w:name="O_1232769"/>
      <w:bookmarkEnd w:id="15"/>
      <w:r w:rsidRPr="00C308A0">
        <w:t>Links</w:t>
      </w:r>
    </w:p>
    <w:p w:rsidR="00000000" w:rsidRPr="00C308A0" w:rsidP="00A4614A">
      <w:pPr>
        <w:pStyle w:val="BodyText"/>
      </w:pPr>
      <w:r w:rsidRPr="00C308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69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08A0" w:rsidP="00C308A0"/>
    <w:sectPr w:rsidSect="00C308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0" w:rsidRPr="00A4614A" w:rsidP="00A46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A" w:rsidP="00C30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14A" w:rsidP="00C30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4614A" w:rsidP="00C308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0" w:rsidP="00C30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614A">
      <w:t>Approved</w:t>
    </w:r>
    <w:r w:rsidR="00A461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61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614A">
      <w:rPr>
        <w:noProof/>
      </w:rPr>
      <w:t>4</w:t>
    </w:r>
    <w:r>
      <w:rPr>
        <w:noProof/>
      </w:rPr>
      <w:fldChar w:fldCharType="end"/>
    </w:r>
  </w:p>
  <w:p w:rsidR="00C308A0" w:rsidP="00C30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61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614A">
      <w:t>Industry Skills Australia</w:t>
    </w:r>
    <w:r w:rsidR="00A4614A">
      <w:fldChar w:fldCharType="end"/>
    </w:r>
  </w:p>
  <w:p w:rsidR="00C308A0" w:rsidP="00C308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8A0" w:rsidRPr="00A4614A" w:rsidP="00A46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A" w:rsidRPr="002D2AF8" w:rsidP="00C30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TLIX0045 Determine import/export prohibitions/restrictions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614A" w:rsidP="00C308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0" w:rsidRPr="002D2AF8" w:rsidP="00C30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614A">
      <w:t>TLIX0045 Determine import/export prohibitions/restrictions</w:t>
    </w:r>
    <w:r w:rsidR="00A461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614A">
      <w:rPr>
        <w:noProof/>
      </w:rPr>
      <w:t>2 March 2025</w:t>
    </w:r>
    <w:r>
      <w:fldChar w:fldCharType="end"/>
    </w:r>
  </w:p>
  <w:p w:rsidR="00C308A0" w:rsidP="00C308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7C3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96D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64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8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8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8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8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8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8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8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8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8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8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8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8A0"/>
  </w:style>
  <w:style w:type="character" w:customStyle="1" w:styleId="Heading1Char">
    <w:name w:val="Heading 1 Char"/>
    <w:basedOn w:val="DefaultParagraphFont"/>
    <w:link w:val="Heading1"/>
    <w:rsid w:val="00C308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8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8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8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8A0"/>
    <w:rPr>
      <w:b/>
      <w:spacing w:val="0"/>
    </w:rPr>
  </w:style>
  <w:style w:type="paragraph" w:styleId="ListBullet2">
    <w:name w:val="List Bullet 2"/>
    <w:basedOn w:val="List2"/>
    <w:rsid w:val="00C308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8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8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08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8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8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8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8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8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8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8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8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8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8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8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8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8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8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8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8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8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8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8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8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8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8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8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8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8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8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8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8A0"/>
    <w:rPr>
      <w:i/>
    </w:rPr>
  </w:style>
  <w:style w:type="paragraph" w:styleId="Caption">
    <w:name w:val="caption"/>
    <w:basedOn w:val="BodyText"/>
    <w:next w:val="Normal"/>
    <w:qFormat/>
    <w:rsid w:val="00C308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8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8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8A0"/>
  </w:style>
  <w:style w:type="paragraph" w:styleId="TableofFigures">
    <w:name w:val="table of figures"/>
    <w:basedOn w:val="Normal"/>
    <w:next w:val="Normal"/>
    <w:semiHidden/>
    <w:rsid w:val="00C308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8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08A0"/>
    <w:rPr>
      <w:rFonts w:ascii="Wingdings" w:hAnsi="Wingdings"/>
    </w:rPr>
  </w:style>
  <w:style w:type="paragraph" w:customStyle="1" w:styleId="TableHeading">
    <w:name w:val="Table Heading"/>
    <w:basedOn w:val="HeadingBase"/>
    <w:rsid w:val="00C308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8A0"/>
    <w:rPr>
      <w:color w:val="0033CC"/>
      <w:u w:val="none"/>
    </w:rPr>
  </w:style>
  <w:style w:type="paragraph" w:customStyle="1" w:styleId="BodyTextRight">
    <w:name w:val="Body Text Right"/>
    <w:basedOn w:val="BodyText"/>
    <w:rsid w:val="00C308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8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8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8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8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8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8A0"/>
    <w:rPr>
      <w:sz w:val="32"/>
    </w:rPr>
  </w:style>
  <w:style w:type="paragraph" w:customStyle="1" w:styleId="HeadingProcedure">
    <w:name w:val="Heading Procedure"/>
    <w:basedOn w:val="HeadingBase"/>
    <w:next w:val="Normal"/>
    <w:rsid w:val="00C308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8A0"/>
    <w:pPr>
      <w:spacing w:before="60" w:after="60"/>
    </w:pPr>
  </w:style>
  <w:style w:type="paragraph" w:styleId="ListContinue">
    <w:name w:val="List Continue"/>
    <w:basedOn w:val="List"/>
    <w:rsid w:val="00C308A0"/>
    <w:pPr>
      <w:ind w:firstLine="0"/>
    </w:pPr>
  </w:style>
  <w:style w:type="paragraph" w:customStyle="1" w:styleId="ListNote">
    <w:name w:val="List Note"/>
    <w:basedOn w:val="List"/>
    <w:rsid w:val="00C308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8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8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8A0"/>
    <w:rPr>
      <w:rFonts w:ascii="Courier New" w:hAnsi="Courier New"/>
    </w:rPr>
  </w:style>
  <w:style w:type="paragraph" w:customStyle="1" w:styleId="NoteBullet">
    <w:name w:val="Note Bullet"/>
    <w:basedOn w:val="Note"/>
    <w:rsid w:val="00C308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8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8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8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8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08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8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8A0"/>
    <w:rPr>
      <w:b/>
      <w:smallCaps/>
    </w:rPr>
  </w:style>
  <w:style w:type="paragraph" w:customStyle="1" w:styleId="TableListNumber">
    <w:name w:val="Table List Number"/>
    <w:basedOn w:val="ListNumber"/>
    <w:rsid w:val="00C308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8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8A0"/>
    <w:pPr>
      <w:numPr>
        <w:numId w:val="9"/>
      </w:numPr>
    </w:pPr>
  </w:style>
  <w:style w:type="paragraph" w:customStyle="1" w:styleId="ListAlpha2">
    <w:name w:val="List Alpha 2"/>
    <w:basedOn w:val="List2"/>
    <w:rsid w:val="00C308A0"/>
    <w:pPr>
      <w:numPr>
        <w:numId w:val="8"/>
      </w:numPr>
    </w:pPr>
  </w:style>
  <w:style w:type="paragraph" w:styleId="List2">
    <w:name w:val="List 2"/>
    <w:basedOn w:val="BodyText"/>
    <w:rsid w:val="00C308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8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8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8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8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8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08A0"/>
    <w:pPr>
      <w:numPr>
        <w:numId w:val="4"/>
      </w:numPr>
    </w:pPr>
  </w:style>
  <w:style w:type="paragraph" w:styleId="ListContinue2">
    <w:name w:val="List Continue 2"/>
    <w:basedOn w:val="List2"/>
    <w:rsid w:val="00C308A0"/>
    <w:pPr>
      <w:ind w:firstLine="0"/>
    </w:pPr>
  </w:style>
  <w:style w:type="paragraph" w:styleId="ListContinue3">
    <w:name w:val="List Continue 3"/>
    <w:basedOn w:val="List3"/>
    <w:rsid w:val="00C308A0"/>
    <w:pPr>
      <w:ind w:left="1021" w:firstLine="0"/>
    </w:pPr>
  </w:style>
  <w:style w:type="paragraph" w:styleId="ListContinue4">
    <w:name w:val="List Continue 4"/>
    <w:basedOn w:val="List4"/>
    <w:rsid w:val="00C308A0"/>
    <w:pPr>
      <w:ind w:firstLine="0"/>
    </w:pPr>
  </w:style>
  <w:style w:type="paragraph" w:styleId="ListContinue5">
    <w:name w:val="List Continue 5"/>
    <w:basedOn w:val="List5"/>
    <w:rsid w:val="00C308A0"/>
    <w:pPr>
      <w:ind w:firstLine="0"/>
    </w:pPr>
  </w:style>
  <w:style w:type="paragraph" w:styleId="ListNumber3">
    <w:name w:val="List Number 3"/>
    <w:basedOn w:val="List3"/>
    <w:rsid w:val="00C308A0"/>
    <w:pPr>
      <w:numPr>
        <w:numId w:val="5"/>
      </w:numPr>
    </w:pPr>
  </w:style>
  <w:style w:type="paragraph" w:styleId="ListNumber4">
    <w:name w:val="List Number 4"/>
    <w:basedOn w:val="List4"/>
    <w:rsid w:val="00C308A0"/>
    <w:pPr>
      <w:numPr>
        <w:numId w:val="6"/>
      </w:numPr>
    </w:pPr>
  </w:style>
  <w:style w:type="paragraph" w:styleId="ListNumber5">
    <w:name w:val="List Number 5"/>
    <w:basedOn w:val="List5"/>
    <w:rsid w:val="00C308A0"/>
    <w:pPr>
      <w:numPr>
        <w:numId w:val="7"/>
      </w:numPr>
    </w:pPr>
  </w:style>
  <w:style w:type="paragraph" w:styleId="BlockText">
    <w:name w:val="Block Text"/>
    <w:basedOn w:val="Normal"/>
    <w:rsid w:val="00C308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8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8A0"/>
    <w:rPr>
      <w:sz w:val="16"/>
      <w:vertAlign w:val="superscript"/>
    </w:rPr>
  </w:style>
  <w:style w:type="character" w:customStyle="1" w:styleId="Symbols">
    <w:name w:val="Symbols"/>
    <w:basedOn w:val="DefaultParagraphFont"/>
    <w:rsid w:val="00C308A0"/>
    <w:rPr>
      <w:rFonts w:ascii="Symbol" w:hAnsi="Symbol"/>
    </w:rPr>
  </w:style>
  <w:style w:type="character" w:customStyle="1" w:styleId="MenuOptions">
    <w:name w:val="Menu Options"/>
    <w:basedOn w:val="DefaultParagraphFont"/>
    <w:rsid w:val="00C308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8A0"/>
    <w:rPr>
      <w:b/>
    </w:rPr>
  </w:style>
  <w:style w:type="character" w:customStyle="1" w:styleId="Underlined">
    <w:name w:val="Underlined"/>
    <w:basedOn w:val="DefaultParagraphFont"/>
    <w:rsid w:val="00C308A0"/>
    <w:rPr>
      <w:u w:val="single"/>
    </w:rPr>
  </w:style>
  <w:style w:type="paragraph" w:customStyle="1" w:styleId="TableBodyTextRight">
    <w:name w:val="Table Body Text Right"/>
    <w:basedOn w:val="TableBodyText"/>
    <w:rsid w:val="00C308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8A0"/>
    <w:rPr>
      <w:sz w:val="18"/>
    </w:rPr>
  </w:style>
  <w:style w:type="paragraph" w:customStyle="1" w:styleId="BodySmallRight">
    <w:name w:val="Body Small Right"/>
    <w:basedOn w:val="BodyTextRight"/>
    <w:rsid w:val="00C308A0"/>
    <w:rPr>
      <w:sz w:val="18"/>
      <w:szCs w:val="18"/>
    </w:rPr>
  </w:style>
  <w:style w:type="paragraph" w:customStyle="1" w:styleId="MarginEdition">
    <w:name w:val="Margin Edition"/>
    <w:basedOn w:val="MarginNote"/>
    <w:rsid w:val="00C308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8A0"/>
    <w:rPr>
      <w:sz w:val="2"/>
      <w:szCs w:val="2"/>
    </w:rPr>
  </w:style>
  <w:style w:type="character" w:customStyle="1" w:styleId="Small">
    <w:name w:val="Small"/>
    <w:basedOn w:val="DefaultParagraphFont"/>
    <w:rsid w:val="00C308A0"/>
    <w:rPr>
      <w:sz w:val="16"/>
    </w:rPr>
  </w:style>
  <w:style w:type="paragraph" w:customStyle="1" w:styleId="WideTable">
    <w:name w:val="Wide Table"/>
    <w:basedOn w:val="Normal"/>
    <w:rsid w:val="00C308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8A0"/>
  </w:style>
  <w:style w:type="paragraph" w:styleId="Quote">
    <w:name w:val="Quote"/>
    <w:basedOn w:val="Heading1"/>
    <w:link w:val="QuoteChar"/>
    <w:qFormat/>
    <w:rsid w:val="00C308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8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8A0"/>
    <w:pPr>
      <w:pageBreakBefore/>
    </w:pPr>
  </w:style>
  <w:style w:type="paragraph" w:customStyle="1" w:styleId="Border">
    <w:name w:val="Border"/>
    <w:basedOn w:val="Normal"/>
    <w:qFormat/>
    <w:rsid w:val="00C308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8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8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8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8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8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8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8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8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8A0"/>
    <w:rPr>
      <w:u w:val="single"/>
    </w:rPr>
  </w:style>
  <w:style w:type="character" w:customStyle="1" w:styleId="BoldandItalics">
    <w:name w:val="Bold and Italics"/>
    <w:qFormat/>
    <w:rsid w:val="00C308A0"/>
    <w:rPr>
      <w:b/>
      <w:i/>
      <w:u w:val="none"/>
    </w:rPr>
  </w:style>
  <w:style w:type="paragraph" w:styleId="BalloonText">
    <w:name w:val="Balloon Text"/>
    <w:basedOn w:val="Normal"/>
    <w:link w:val="BalloonTextChar"/>
    <w:rsid w:val="00C308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8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8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8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8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8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8A0"/>
    <w:pPr>
      <w:spacing w:before="0" w:after="0"/>
    </w:pPr>
  </w:style>
  <w:style w:type="paragraph" w:customStyle="1" w:styleId="BodyTextBold">
    <w:name w:val="Body Text Bold"/>
    <w:basedOn w:val="BodyText"/>
    <w:qFormat/>
    <w:rsid w:val="00C308A0"/>
    <w:rPr>
      <w:b/>
    </w:rPr>
  </w:style>
  <w:style w:type="character" w:styleId="Hyperlink">
    <w:name w:val="Hyperlink"/>
    <w:basedOn w:val="DefaultParagraphFont"/>
    <w:uiPriority w:val="99"/>
    <w:unhideWhenUsed/>
    <w:rsid w:val="00A46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5067</Characters>
  <Application>Microsoft Office Word</Application>
  <DocSecurity>0</DocSecurity>
  <Lines>174</Lines>
  <Paragraphs>101</Paragraphs>
  <ScaleCrop>false</ScaleCrop>
  <Company>Author-it Software Corporation Ltd.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TLIX0045 Determine import/export prohibitions/restrictions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2025-03-01T16:04:00Z</dcterms:created>
  <dcterms:modified xsi:type="dcterms:W3CDTF">2025-03-01T16:04:00Z</dcterms:modified>
</cp:coreProperties>
</file>