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38E" w:rsidP="00445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TLIX0044 Determine origin of goods and apply preference schemes or free trade agreements</w:t>
      </w:r>
      <w:r>
        <w:fldChar w:fldCharType="end"/>
      </w:r>
    </w:p>
    <w:p w:rsidR="0044538E" w:rsidP="0044538E">
      <w:pPr>
        <w:pStyle w:val="Version"/>
        <w:sectPr w:rsidSect="00CE27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2712" w:rsidP="00CE2712">
      <w:pPr>
        <w:pStyle w:val="SuperHeading"/>
      </w:pPr>
      <w:r w:rsidRPr="00CE2712">
        <w:t>TLIX0044 Determine origin of goods and apply preference schemes or free trade agreements</w:t>
      </w:r>
    </w:p>
    <w:p w:rsidR="00000000" w:rsidRPr="00CE2712" w:rsidP="00CE2712">
      <w:pPr>
        <w:pStyle w:val="Heading1"/>
      </w:pPr>
      <w:bookmarkStart w:id="1" w:name="O_1232734"/>
      <w:bookmarkEnd w:id="1"/>
      <w:r w:rsidRPr="00CE27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rPr>
                <w:rStyle w:val="SpecialBold"/>
              </w:rPr>
              <w:t>Release 1</w:t>
            </w:r>
            <w:r w:rsidRPr="00CE2712">
              <w:t>. This is the first release of this unit of competency in the TLI Transport and Logistics Training Package.</w:t>
            </w:r>
          </w:p>
        </w:tc>
      </w:tr>
    </w:tbl>
    <w:p w:rsidR="0044538E" w:rsidP="00CE2712">
      <w:pPr>
        <w:pStyle w:val="NoPaddingFontSize1"/>
      </w:pPr>
    </w:p>
    <w:p w:rsidR="0044538E" w:rsidP="00CE2712">
      <w:pPr>
        <w:pStyle w:val="NoPaddingFontSize1"/>
      </w:pPr>
    </w:p>
    <w:p w:rsidR="00000000" w:rsidRPr="00CE2712" w:rsidP="00CE2712">
      <w:pPr>
        <w:pStyle w:val="Heading1"/>
      </w:pPr>
      <w:bookmarkStart w:id="2" w:name="O_1232735"/>
      <w:bookmarkEnd w:id="2"/>
      <w:r w:rsidRPr="00CE27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t>This unit involves the skills and knowledge required to determine the origin of goods and to interpret the application of preference schemes and/or free trade agreements to those goods.</w:t>
            </w:r>
          </w:p>
          <w:p w:rsidR="00000000" w:rsidRPr="00CE2712" w:rsidP="00CE2712">
            <w:pPr>
              <w:pStyle w:val="BodyText"/>
            </w:pPr>
            <w:r w:rsidRPr="00CE2712">
              <w:t>Work must be carried out in compliance w</w:t>
            </w:r>
            <w:r w:rsidRPr="00CE2712">
              <w:t>ith the relevant customs requirements, and relevant legislation requirements concerning the determination of origin of goods.</w:t>
            </w:r>
          </w:p>
          <w:p w:rsidR="00000000" w:rsidRPr="00CE2712" w:rsidP="00CE2712">
            <w:pPr>
              <w:pStyle w:val="BodyText"/>
            </w:pPr>
            <w:r w:rsidRPr="00CE2712">
              <w:t>Work is undertaken in a range of environments, including small to large worksites, in the customs broking and international supply</w:t>
            </w:r>
            <w:r w:rsidRPr="00CE2712">
              <w:t xml:space="preserve"> chain industries.</w:t>
            </w:r>
          </w:p>
          <w:p w:rsidR="00000000" w:rsidRPr="00CE2712" w:rsidP="00CE2712">
            <w:pPr>
              <w:pStyle w:val="BodyText"/>
            </w:pPr>
            <w:r w:rsidRPr="00CE2712">
              <w:t>No licensing, legislative or certification requirements apply to this unit at the time of publication.</w:t>
            </w:r>
          </w:p>
        </w:tc>
      </w:tr>
    </w:tbl>
    <w:p w:rsidR="0044538E" w:rsidP="00CE2712">
      <w:pPr>
        <w:pStyle w:val="NoPaddingFontSize1"/>
      </w:pPr>
    </w:p>
    <w:p w:rsidR="0044538E" w:rsidP="00CE2712">
      <w:pPr>
        <w:pStyle w:val="NoPaddingFontSize1"/>
      </w:pPr>
    </w:p>
    <w:p w:rsidR="00000000" w:rsidRPr="00CE2712" w:rsidP="00CE2712">
      <w:pPr>
        <w:pStyle w:val="Heading1"/>
      </w:pPr>
      <w:bookmarkStart w:id="3" w:name="O_1232736"/>
      <w:bookmarkEnd w:id="3"/>
      <w:r w:rsidRPr="00CE271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t>Not applicable.</w:t>
            </w:r>
          </w:p>
        </w:tc>
      </w:tr>
    </w:tbl>
    <w:p w:rsidR="0044538E" w:rsidP="00CE2712">
      <w:pPr>
        <w:pStyle w:val="NoPaddingFontSize1"/>
      </w:pPr>
    </w:p>
    <w:p w:rsidR="0044538E" w:rsidP="00CE2712">
      <w:pPr>
        <w:pStyle w:val="NoPaddingFontSize1"/>
      </w:pPr>
    </w:p>
    <w:p w:rsidR="00000000" w:rsidRPr="00CE2712" w:rsidP="00CE2712">
      <w:pPr>
        <w:pStyle w:val="Heading1"/>
      </w:pPr>
      <w:bookmarkStart w:id="4" w:name="O_1232737"/>
      <w:bookmarkEnd w:id="4"/>
      <w:r w:rsidRPr="00CE271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t>X – Logistics</w:t>
            </w:r>
          </w:p>
        </w:tc>
      </w:tr>
    </w:tbl>
    <w:p w:rsidR="0044538E" w:rsidP="00CE2712">
      <w:pPr>
        <w:pStyle w:val="NoPaddingFontSize1"/>
      </w:pPr>
    </w:p>
    <w:p w:rsidR="0044538E" w:rsidP="00CE2712">
      <w:pPr>
        <w:pStyle w:val="NoPaddingFontSize1"/>
      </w:pPr>
    </w:p>
    <w:p w:rsidR="00000000" w:rsidRPr="00CE2712" w:rsidP="00CE2712">
      <w:pPr>
        <w:pStyle w:val="Heading1"/>
      </w:pPr>
      <w:bookmarkStart w:id="5" w:name="O_1232738"/>
      <w:bookmarkEnd w:id="5"/>
      <w:r w:rsidRPr="00CE27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t>Customs Broking.</w:t>
            </w:r>
          </w:p>
        </w:tc>
      </w:tr>
    </w:tbl>
    <w:p w:rsidR="0044538E" w:rsidP="00CE2712">
      <w:pPr>
        <w:pStyle w:val="NoPaddingFontSize1"/>
      </w:pPr>
    </w:p>
    <w:p w:rsidR="0044538E" w:rsidP="00CE2712">
      <w:pPr>
        <w:pStyle w:val="NoPaddingFontSize1"/>
      </w:pPr>
    </w:p>
    <w:p w:rsidR="00000000" w:rsidRPr="00CE2712" w:rsidP="00CE2712">
      <w:pPr>
        <w:pStyle w:val="Heading1"/>
      </w:pPr>
      <w:bookmarkStart w:id="6" w:name="O_1232739"/>
      <w:bookmarkEnd w:id="6"/>
      <w:r w:rsidRPr="00CE27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1"/>
        <w:gridCol w:w="2892"/>
        <w:gridCol w:w="726"/>
        <w:gridCol w:w="3701"/>
        <w:gridCol w:w="1119"/>
      </w:tblGrid>
      <w:tr w:rsidTr="00CE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rPr>
                <w:rStyle w:val="SpecialBold"/>
              </w:rPr>
              <w:t>ELEMENTS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rPr>
                <w:rStyle w:val="SpecialBold"/>
              </w:rPr>
              <w:t>PERFORMANCE CRITERIA</w:t>
            </w:r>
          </w:p>
        </w:tc>
      </w:tr>
      <w:tr w:rsidTr="00CE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t>Elements describe the essential outcomes.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t>Performance criteria describe the performance needed to demonstrate achievement of the element.</w:t>
            </w:r>
          </w:p>
        </w:tc>
      </w:tr>
      <w:tr w:rsidTr="00CE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rPr>
                <w:rStyle w:val="SpecialBold"/>
              </w:rPr>
              <w:t>1</w:t>
            </w: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rPr>
                <w:rStyle w:val="SpecialBold"/>
              </w:rPr>
              <w:t>Determine eligibility for preferential tariff rates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rPr>
                <w:rStyle w:val="SpecialBold"/>
              </w:rPr>
              <w:t>1.1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t>Place or country of origin of goods presented for clearance are identified in accordance with commer</w:t>
            </w:r>
            <w:r w:rsidRPr="00CE2712">
              <w:t xml:space="preserve">cial </w:t>
            </w:r>
            <w:r w:rsidRPr="00CE2712">
              <w:t>documents, including certificates of origin</w:t>
            </w:r>
          </w:p>
        </w:tc>
      </w:tr>
      <w:tr w:rsidTr="00CE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>
            <w:pPr>
              <w:pStyle w:val="BodyText"/>
              <w:keepLines w:val="0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rPr>
                <w:rStyle w:val="SpecialBold"/>
              </w:rPr>
              <w:t>1.2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t>Eligibility for preferential tariff rates is assessed in accordance with commercial documents, relevant legislation and trade agreements</w:t>
            </w:r>
          </w:p>
        </w:tc>
      </w:tr>
      <w:tr w:rsidTr="00CE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>
            <w:pPr>
              <w:pStyle w:val="BodyText"/>
              <w:keepLines w:val="0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rPr>
                <w:rStyle w:val="SpecialBold"/>
              </w:rPr>
              <w:t>1.3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t>Goods presented for clearance are checked to confirm eligibility and/or compliance with Customs Act as amended and/or other legislation and associated rules of origin and preference</w:t>
            </w:r>
          </w:p>
        </w:tc>
      </w:tr>
      <w:tr w:rsidTr="00CE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>
            <w:pPr>
              <w:pStyle w:val="BodyText"/>
              <w:keepLines w:val="0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rPr>
                <w:rStyle w:val="SpecialBold"/>
              </w:rPr>
              <w:t>1.4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t>Certificates and/or declarations of origin are checked for accuracy</w:t>
            </w:r>
            <w:r w:rsidRPr="00CE2712">
              <w:t xml:space="preserve"> and compliance with legislation and/or customs policy as required</w:t>
            </w:r>
          </w:p>
        </w:tc>
      </w:tr>
      <w:tr w:rsidTr="00CE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>
            <w:pPr>
              <w:pStyle w:val="BodyText"/>
              <w:keepLines w:val="0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rPr>
                <w:rStyle w:val="SpecialBold"/>
              </w:rPr>
              <w:t>1.5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t>Compliance with consignment rules is confirmed as required</w:t>
            </w:r>
          </w:p>
        </w:tc>
      </w:tr>
      <w:tr w:rsidTr="00CE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rPr>
                <w:rStyle w:val="SpecialBold"/>
              </w:rPr>
              <w:t>2</w:t>
            </w: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rPr>
                <w:rStyle w:val="SpecialBold"/>
              </w:rPr>
              <w:t>Apply relevant preference scheme</w:t>
            </w:r>
            <w:r w:rsidRPr="00CE2712">
              <w:t>s</w:t>
            </w:r>
            <w:r w:rsidRPr="00CE2712">
              <w:rPr>
                <w:rStyle w:val="SpecialBold"/>
              </w:rPr>
              <w:t xml:space="preserve"> or free trade agreement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rPr>
                <w:rStyle w:val="SpecialBold"/>
              </w:rPr>
              <w:t>2.1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t>Requirements of relevant preference schemes are identified</w:t>
            </w:r>
            <w:r w:rsidRPr="00CE2712">
              <w:t>, interpreted and applied in accordance with relevant legislation</w:t>
            </w:r>
          </w:p>
        </w:tc>
      </w:tr>
      <w:tr w:rsidTr="00CE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>
            <w:pPr>
              <w:pStyle w:val="BodyText"/>
              <w:keepLines w:val="0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rPr>
                <w:rStyle w:val="SpecialBold"/>
              </w:rPr>
              <w:t>2.2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t>Requirements of relevant free trade agreements are identified, interpreted and applied in accordance with relevant legislation</w:t>
            </w:r>
          </w:p>
        </w:tc>
      </w:tr>
      <w:tr w:rsidTr="00CE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rPr>
                <w:rStyle w:val="SpecialBold"/>
              </w:rPr>
              <w:t>3</w:t>
            </w: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rPr>
                <w:rStyle w:val="SpecialBold"/>
              </w:rPr>
              <w:t>Establish relevant duty rate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rPr>
                <w:rStyle w:val="SpecialBold"/>
              </w:rPr>
              <w:t>3.1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t>Relevant tariff schedule is referenced in accordance with legislation</w:t>
            </w:r>
          </w:p>
        </w:tc>
      </w:tr>
      <w:tr w:rsidTr="00CE2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>
            <w:pPr>
              <w:pStyle w:val="BodyText"/>
              <w:keepLines w:val="0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712">
            <w:pPr>
              <w:pStyle w:val="BodyText"/>
              <w:rPr>
                <w:lang w:val="en-NZ"/>
              </w:rPr>
            </w:pPr>
            <w:r w:rsidRPr="00CE2712">
              <w:rPr>
                <w:rStyle w:val="SpecialBold"/>
              </w:rPr>
              <w:t>3.2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t>Relevant duty rate is confirmed and applied</w:t>
            </w:r>
          </w:p>
        </w:tc>
      </w:tr>
    </w:tbl>
    <w:p w:rsidR="0044538E" w:rsidP="00CE2712">
      <w:pPr>
        <w:pStyle w:val="NoPaddingFontSize1"/>
      </w:pPr>
    </w:p>
    <w:p w:rsidR="0044538E" w:rsidP="00CE2712">
      <w:pPr>
        <w:pStyle w:val="NoPaddingFontSize1"/>
      </w:pPr>
    </w:p>
    <w:p w:rsidR="00000000" w:rsidRPr="00CE2712" w:rsidP="00CE2712">
      <w:pPr>
        <w:pStyle w:val="Heading1"/>
      </w:pPr>
      <w:bookmarkStart w:id="7" w:name="O_1232740"/>
      <w:bookmarkEnd w:id="7"/>
      <w:r w:rsidRPr="00CE27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t>Foundation skills essential to performance are explicit in the performance criteria of this uni</w:t>
            </w:r>
            <w:r w:rsidRPr="00CE2712">
              <w:t>t of competency.</w:t>
            </w:r>
          </w:p>
        </w:tc>
      </w:tr>
    </w:tbl>
    <w:p w:rsidR="0044538E" w:rsidP="00CE2712">
      <w:pPr>
        <w:pStyle w:val="NoPaddingFontSize1"/>
      </w:pPr>
    </w:p>
    <w:p w:rsidR="0044538E" w:rsidP="00CE2712">
      <w:pPr>
        <w:pStyle w:val="NoPaddingFontSize1"/>
      </w:pPr>
    </w:p>
    <w:p w:rsidR="00000000" w:rsidRPr="00CE2712" w:rsidP="00CE2712">
      <w:pPr>
        <w:pStyle w:val="Heading1"/>
      </w:pPr>
      <w:bookmarkStart w:id="8" w:name="O_1232741"/>
      <w:bookmarkEnd w:id="8"/>
      <w:r w:rsidRPr="00CE271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t>Range is restricted to essential operating conditions and any other variables essential to the work environment.</w:t>
            </w:r>
          </w:p>
          <w:p w:rsidR="00000000" w:rsidRPr="00CE2712" w:rsidP="00CE2712">
            <w:pPr>
              <w:pStyle w:val="BodyText"/>
            </w:pPr>
            <w:r w:rsidRPr="00CE2712">
              <w:t>Non-essential conditions can be found in the TLI Transport and Logistics Training Package Companion Volume Implementation Guide.</w:t>
            </w:r>
          </w:p>
        </w:tc>
      </w:tr>
    </w:tbl>
    <w:p w:rsidR="0044538E" w:rsidP="00CE2712">
      <w:pPr>
        <w:pStyle w:val="NoPaddingFontSize1"/>
      </w:pPr>
    </w:p>
    <w:p w:rsidR="0044538E" w:rsidP="00CE2712">
      <w:pPr>
        <w:pStyle w:val="NoPaddingFontSize1"/>
      </w:pPr>
    </w:p>
    <w:p w:rsidR="00000000" w:rsidRPr="00CE2712" w:rsidP="00CE2712">
      <w:pPr>
        <w:pStyle w:val="Heading1"/>
      </w:pPr>
      <w:bookmarkStart w:id="9" w:name="O_1232742"/>
      <w:bookmarkEnd w:id="9"/>
      <w:r w:rsidRPr="00CE27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7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712" w:rsidP="00CE2712">
            <w:pPr>
              <w:pStyle w:val="BodyText"/>
            </w:pPr>
            <w:r w:rsidRPr="00CE2712">
              <w:t>This unit replaces and is equivalent to TLIX5050 Determine origin of goods and a</w:t>
            </w:r>
            <w:r w:rsidRPr="00CE2712">
              <w:t>pply preference schemes or free trade agreements.</w:t>
            </w:r>
          </w:p>
        </w:tc>
      </w:tr>
    </w:tbl>
    <w:p w:rsidR="0044538E" w:rsidP="00CE2712">
      <w:pPr>
        <w:pStyle w:val="NoPaddingFontSize1"/>
      </w:pPr>
    </w:p>
    <w:p w:rsidR="0044538E" w:rsidP="00CE2712">
      <w:pPr>
        <w:pStyle w:val="NoPaddingFontSize1"/>
      </w:pPr>
    </w:p>
    <w:p w:rsidR="00000000" w:rsidRPr="00CE2712" w:rsidP="00CE2712">
      <w:pPr>
        <w:pStyle w:val="Heading1"/>
      </w:pPr>
      <w:bookmarkStart w:id="10" w:name="O_1232749"/>
      <w:bookmarkEnd w:id="10"/>
      <w:r w:rsidRPr="00CE2712">
        <w:t>Links</w:t>
      </w:r>
    </w:p>
    <w:p w:rsidR="00000000" w:rsidRPr="00CE2712" w:rsidP="0044538E">
      <w:pPr>
        <w:pStyle w:val="BodyText"/>
      </w:pPr>
      <w:r w:rsidRPr="00CE27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D37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E2712" w:rsidP="00CE2712"/>
    <w:sectPr w:rsidSect="00CE27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12" w:rsidRPr="0044538E" w:rsidP="00445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8E" w:rsidP="00CE2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38E" w:rsidP="00CE2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4538E" w:rsidP="00CE27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712" w:rsidRPr="0044538E" w:rsidP="00445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8E" w:rsidRPr="002D2AF8" w:rsidP="00CE2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TLIX0044 Determine origin of goods and apply preference schemes or free trade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4538E" w:rsidP="00CE27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7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7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7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7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7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7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7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7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7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7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7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712"/>
  </w:style>
  <w:style w:type="character" w:customStyle="1" w:styleId="Heading1Char">
    <w:name w:val="Heading 1 Char"/>
    <w:basedOn w:val="DefaultParagraphFont"/>
    <w:link w:val="Heading1"/>
    <w:rsid w:val="00CE27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7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71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2712"/>
    <w:rPr>
      <w:b/>
      <w:spacing w:val="0"/>
    </w:rPr>
  </w:style>
  <w:style w:type="paragraph" w:customStyle="1" w:styleId="SuperHeading">
    <w:name w:val="SuperHeading"/>
    <w:basedOn w:val="Normal"/>
    <w:rsid w:val="00CE27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7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27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7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7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7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7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7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7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7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7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7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7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7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7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7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7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27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27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7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7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7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27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27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7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7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7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7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7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7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7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7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2712"/>
    <w:rPr>
      <w:i/>
    </w:rPr>
  </w:style>
  <w:style w:type="paragraph" w:styleId="Caption">
    <w:name w:val="caption"/>
    <w:basedOn w:val="BodyText"/>
    <w:next w:val="Normal"/>
    <w:qFormat/>
    <w:rsid w:val="00CE27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7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7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712"/>
  </w:style>
  <w:style w:type="paragraph" w:styleId="TableofFigures">
    <w:name w:val="table of figures"/>
    <w:basedOn w:val="Normal"/>
    <w:next w:val="Normal"/>
    <w:semiHidden/>
    <w:rsid w:val="00CE27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7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2712"/>
    <w:rPr>
      <w:rFonts w:ascii="Wingdings" w:hAnsi="Wingdings"/>
    </w:rPr>
  </w:style>
  <w:style w:type="paragraph" w:customStyle="1" w:styleId="TableHeading">
    <w:name w:val="Table Heading"/>
    <w:basedOn w:val="HeadingBase"/>
    <w:rsid w:val="00CE27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712"/>
    <w:rPr>
      <w:color w:val="0033CC"/>
      <w:u w:val="none"/>
    </w:rPr>
  </w:style>
  <w:style w:type="paragraph" w:customStyle="1" w:styleId="BodyTextRight">
    <w:name w:val="Body Text Right"/>
    <w:basedOn w:val="BodyText"/>
    <w:rsid w:val="00CE27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7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7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7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7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7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712"/>
    <w:rPr>
      <w:sz w:val="32"/>
    </w:rPr>
  </w:style>
  <w:style w:type="paragraph" w:customStyle="1" w:styleId="HeadingProcedure">
    <w:name w:val="Heading Procedure"/>
    <w:basedOn w:val="HeadingBase"/>
    <w:next w:val="Normal"/>
    <w:rsid w:val="00CE27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712"/>
    <w:pPr>
      <w:spacing w:before="60" w:after="60"/>
    </w:pPr>
  </w:style>
  <w:style w:type="paragraph" w:styleId="ListContinue">
    <w:name w:val="List Continue"/>
    <w:basedOn w:val="List"/>
    <w:rsid w:val="00CE2712"/>
    <w:pPr>
      <w:ind w:firstLine="0"/>
    </w:pPr>
  </w:style>
  <w:style w:type="paragraph" w:customStyle="1" w:styleId="ListNote">
    <w:name w:val="List Note"/>
    <w:basedOn w:val="List"/>
    <w:rsid w:val="00CE27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7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7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712"/>
    <w:rPr>
      <w:rFonts w:ascii="Courier New" w:hAnsi="Courier New"/>
    </w:rPr>
  </w:style>
  <w:style w:type="paragraph" w:customStyle="1" w:styleId="NoteBullet">
    <w:name w:val="Note Bullet"/>
    <w:basedOn w:val="Note"/>
    <w:rsid w:val="00CE27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7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7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7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7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27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7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712"/>
    <w:rPr>
      <w:b/>
      <w:smallCaps/>
    </w:rPr>
  </w:style>
  <w:style w:type="paragraph" w:customStyle="1" w:styleId="TableListNumber">
    <w:name w:val="Table List Number"/>
    <w:basedOn w:val="ListNumber"/>
    <w:rsid w:val="00CE27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7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712"/>
    <w:pPr>
      <w:numPr>
        <w:numId w:val="7"/>
      </w:numPr>
    </w:pPr>
  </w:style>
  <w:style w:type="paragraph" w:customStyle="1" w:styleId="ListAlpha2">
    <w:name w:val="List Alpha 2"/>
    <w:basedOn w:val="List2"/>
    <w:rsid w:val="00CE2712"/>
    <w:pPr>
      <w:numPr>
        <w:numId w:val="6"/>
      </w:numPr>
    </w:pPr>
  </w:style>
  <w:style w:type="paragraph" w:styleId="List2">
    <w:name w:val="List 2"/>
    <w:basedOn w:val="BodyText"/>
    <w:rsid w:val="00CE27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7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7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7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7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7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2712"/>
    <w:pPr>
      <w:numPr>
        <w:numId w:val="2"/>
      </w:numPr>
    </w:pPr>
  </w:style>
  <w:style w:type="paragraph" w:styleId="ListContinue2">
    <w:name w:val="List Continue 2"/>
    <w:basedOn w:val="List2"/>
    <w:rsid w:val="00CE2712"/>
    <w:pPr>
      <w:ind w:firstLine="0"/>
    </w:pPr>
  </w:style>
  <w:style w:type="paragraph" w:styleId="ListContinue3">
    <w:name w:val="List Continue 3"/>
    <w:basedOn w:val="List3"/>
    <w:rsid w:val="00CE2712"/>
    <w:pPr>
      <w:ind w:left="1021" w:firstLine="0"/>
    </w:pPr>
  </w:style>
  <w:style w:type="paragraph" w:styleId="ListContinue4">
    <w:name w:val="List Continue 4"/>
    <w:basedOn w:val="List4"/>
    <w:rsid w:val="00CE2712"/>
    <w:pPr>
      <w:ind w:firstLine="0"/>
    </w:pPr>
  </w:style>
  <w:style w:type="paragraph" w:styleId="ListContinue5">
    <w:name w:val="List Continue 5"/>
    <w:basedOn w:val="List5"/>
    <w:rsid w:val="00CE2712"/>
    <w:pPr>
      <w:ind w:firstLine="0"/>
    </w:pPr>
  </w:style>
  <w:style w:type="paragraph" w:styleId="ListNumber3">
    <w:name w:val="List Number 3"/>
    <w:basedOn w:val="List3"/>
    <w:rsid w:val="00CE2712"/>
    <w:pPr>
      <w:numPr>
        <w:numId w:val="3"/>
      </w:numPr>
    </w:pPr>
  </w:style>
  <w:style w:type="paragraph" w:styleId="ListNumber4">
    <w:name w:val="List Number 4"/>
    <w:basedOn w:val="List4"/>
    <w:rsid w:val="00CE2712"/>
    <w:pPr>
      <w:numPr>
        <w:numId w:val="4"/>
      </w:numPr>
    </w:pPr>
  </w:style>
  <w:style w:type="paragraph" w:styleId="ListNumber5">
    <w:name w:val="List Number 5"/>
    <w:basedOn w:val="List5"/>
    <w:rsid w:val="00CE2712"/>
    <w:pPr>
      <w:numPr>
        <w:numId w:val="5"/>
      </w:numPr>
    </w:pPr>
  </w:style>
  <w:style w:type="paragraph" w:styleId="BlockText">
    <w:name w:val="Block Text"/>
    <w:basedOn w:val="Normal"/>
    <w:rsid w:val="00CE27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7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712"/>
    <w:rPr>
      <w:sz w:val="16"/>
      <w:vertAlign w:val="superscript"/>
    </w:rPr>
  </w:style>
  <w:style w:type="character" w:customStyle="1" w:styleId="Symbols">
    <w:name w:val="Symbols"/>
    <w:basedOn w:val="DefaultParagraphFont"/>
    <w:rsid w:val="00CE2712"/>
    <w:rPr>
      <w:rFonts w:ascii="Symbol" w:hAnsi="Symbol"/>
    </w:rPr>
  </w:style>
  <w:style w:type="character" w:customStyle="1" w:styleId="MenuOptions">
    <w:name w:val="Menu Options"/>
    <w:basedOn w:val="DefaultParagraphFont"/>
    <w:rsid w:val="00CE27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712"/>
    <w:rPr>
      <w:b/>
    </w:rPr>
  </w:style>
  <w:style w:type="character" w:customStyle="1" w:styleId="Underlined">
    <w:name w:val="Underlined"/>
    <w:basedOn w:val="DefaultParagraphFont"/>
    <w:rsid w:val="00CE2712"/>
    <w:rPr>
      <w:u w:val="single"/>
    </w:rPr>
  </w:style>
  <w:style w:type="paragraph" w:customStyle="1" w:styleId="TableBodyTextRight">
    <w:name w:val="Table Body Text Right"/>
    <w:basedOn w:val="TableBodyText"/>
    <w:rsid w:val="00CE27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712"/>
    <w:rPr>
      <w:sz w:val="18"/>
    </w:rPr>
  </w:style>
  <w:style w:type="paragraph" w:customStyle="1" w:styleId="BodySmallRight">
    <w:name w:val="Body Small Right"/>
    <w:basedOn w:val="BodyTextRight"/>
    <w:rsid w:val="00CE2712"/>
    <w:rPr>
      <w:sz w:val="18"/>
      <w:szCs w:val="18"/>
    </w:rPr>
  </w:style>
  <w:style w:type="paragraph" w:customStyle="1" w:styleId="MarginEdition">
    <w:name w:val="Margin Edition"/>
    <w:basedOn w:val="MarginNote"/>
    <w:rsid w:val="00CE27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712"/>
    <w:rPr>
      <w:sz w:val="2"/>
      <w:szCs w:val="2"/>
    </w:rPr>
  </w:style>
  <w:style w:type="character" w:customStyle="1" w:styleId="Small">
    <w:name w:val="Small"/>
    <w:basedOn w:val="DefaultParagraphFont"/>
    <w:rsid w:val="00CE2712"/>
    <w:rPr>
      <w:sz w:val="16"/>
    </w:rPr>
  </w:style>
  <w:style w:type="paragraph" w:customStyle="1" w:styleId="WideTable">
    <w:name w:val="Wide Table"/>
    <w:basedOn w:val="Normal"/>
    <w:rsid w:val="00CE27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712"/>
  </w:style>
  <w:style w:type="paragraph" w:styleId="Quote">
    <w:name w:val="Quote"/>
    <w:basedOn w:val="Heading1"/>
    <w:link w:val="QuoteChar"/>
    <w:qFormat/>
    <w:rsid w:val="00CE27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7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712"/>
    <w:pPr>
      <w:pageBreakBefore/>
    </w:pPr>
  </w:style>
  <w:style w:type="paragraph" w:customStyle="1" w:styleId="Border">
    <w:name w:val="Border"/>
    <w:basedOn w:val="Normal"/>
    <w:qFormat/>
    <w:rsid w:val="00CE27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7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7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7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7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7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7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7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7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712"/>
    <w:rPr>
      <w:u w:val="single"/>
    </w:rPr>
  </w:style>
  <w:style w:type="character" w:customStyle="1" w:styleId="BoldandItalics">
    <w:name w:val="Bold and Italics"/>
    <w:qFormat/>
    <w:rsid w:val="00CE2712"/>
    <w:rPr>
      <w:b/>
      <w:i/>
      <w:u w:val="none"/>
    </w:rPr>
  </w:style>
  <w:style w:type="paragraph" w:styleId="BalloonText">
    <w:name w:val="Balloon Text"/>
    <w:basedOn w:val="Normal"/>
    <w:link w:val="BalloonTextChar"/>
    <w:rsid w:val="00CE2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7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7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7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7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7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712"/>
    <w:pPr>
      <w:spacing w:before="0" w:after="0"/>
    </w:pPr>
  </w:style>
  <w:style w:type="paragraph" w:customStyle="1" w:styleId="BodyTextBold">
    <w:name w:val="Body Text Bold"/>
    <w:basedOn w:val="BodyText"/>
    <w:qFormat/>
    <w:rsid w:val="00CE2712"/>
    <w:rPr>
      <w:b/>
    </w:rPr>
  </w:style>
  <w:style w:type="character" w:styleId="Hyperlink">
    <w:name w:val="Hyperlink"/>
    <w:basedOn w:val="DefaultParagraphFont"/>
    <w:uiPriority w:val="99"/>
    <w:unhideWhenUsed/>
    <w:rsid w:val="004453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2905</Characters>
  <Application>Microsoft Office Word</Application>
  <DocSecurity>0</DocSecurity>
  <Lines>138</Lines>
  <Paragraphs>65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TLIX0044 Determine origin of goods and apply preference schemes or free trade agreements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