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079" w:rsidP="009170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TLIX0044 Determine origin of goods and apply preference schemes or free trade agreements</w:t>
      </w:r>
      <w:r>
        <w:fldChar w:fldCharType="end"/>
      </w:r>
    </w:p>
    <w:p w:rsidR="00917079" w:rsidP="00917079">
      <w:pPr>
        <w:pStyle w:val="Version"/>
        <w:sectPr w:rsidSect="008B72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279" w:rsidP="008B7279">
      <w:pPr>
        <w:pStyle w:val="SuperHeading"/>
      </w:pPr>
      <w:r w:rsidRPr="008B7279">
        <w:t>TLIX0044 Determine origin of goods and apply preference schemes or free trade agreements</w:t>
      </w:r>
    </w:p>
    <w:p w:rsidR="00000000" w:rsidRPr="008B7279" w:rsidP="008B7279">
      <w:pPr>
        <w:pStyle w:val="Heading1"/>
      </w:pPr>
      <w:bookmarkStart w:id="1" w:name="O_1232734"/>
      <w:bookmarkEnd w:id="1"/>
      <w:r w:rsidRPr="008B72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rPr>
                <w:rStyle w:val="SpecialBold"/>
              </w:rPr>
              <w:t>Release 1</w:t>
            </w:r>
            <w:r w:rsidRPr="008B7279">
              <w:t>. This is the first release of this unit of competency in the TLI Transport and Logistics Training Package.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2" w:name="O_1232735"/>
      <w:bookmarkEnd w:id="2"/>
      <w:r w:rsidRPr="008B72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t>This unit involves the skills and knowledge required to determine the origin of goods and to interpret the application of preference schemes and/or free trade agreements to those goods.</w:t>
            </w:r>
          </w:p>
          <w:p w:rsidR="00000000" w:rsidRPr="008B7279" w:rsidP="008B7279">
            <w:pPr>
              <w:pStyle w:val="BodyText"/>
            </w:pPr>
            <w:r w:rsidRPr="008B7279">
              <w:t>Work must be carried out in compliance w</w:t>
            </w:r>
            <w:r w:rsidRPr="008B7279">
              <w:t>ith the relevant customs requirements, and relevant legislation requirements concerning the determination of origin of goods.</w:t>
            </w:r>
          </w:p>
          <w:p w:rsidR="00000000" w:rsidRPr="008B7279" w:rsidP="008B7279">
            <w:pPr>
              <w:pStyle w:val="BodyText"/>
            </w:pPr>
            <w:r w:rsidRPr="008B7279">
              <w:t>Work is undertaken in a range of environments, including small to large worksites, in the customs broking and international supply</w:t>
            </w:r>
            <w:r w:rsidRPr="008B7279">
              <w:t xml:space="preserve"> chain industries.</w:t>
            </w:r>
          </w:p>
          <w:p w:rsidR="00000000" w:rsidRPr="008B7279" w:rsidP="008B7279">
            <w:pPr>
              <w:pStyle w:val="BodyText"/>
            </w:pPr>
            <w:r w:rsidRPr="008B7279">
              <w:t>No licensing, legislative or certification requirements apply to this unit at the time of publication.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3" w:name="O_1232736"/>
      <w:bookmarkEnd w:id="3"/>
      <w:r w:rsidRPr="008B72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t>Not applicable.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4" w:name="O_1232737"/>
      <w:bookmarkEnd w:id="4"/>
      <w:r w:rsidRPr="008B72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t>X – Logistics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5" w:name="O_1232738"/>
      <w:bookmarkEnd w:id="5"/>
      <w:r w:rsidRPr="008B72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t>Customs Broking.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6" w:name="O_1232739"/>
      <w:bookmarkEnd w:id="6"/>
      <w:r w:rsidRPr="008B72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41"/>
        <w:gridCol w:w="2892"/>
        <w:gridCol w:w="726"/>
        <w:gridCol w:w="3701"/>
        <w:gridCol w:w="1119"/>
      </w:tblGrid>
      <w:tr w:rsidTr="008B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rPr>
                <w:rStyle w:val="SpecialBold"/>
              </w:rPr>
              <w:t>ELEMENTS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rPr>
                <w:rStyle w:val="SpecialBold"/>
              </w:rPr>
              <w:t>PERFORMANCE CRITERIA</w:t>
            </w:r>
          </w:p>
        </w:tc>
      </w:tr>
      <w:tr w:rsidTr="008B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5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Elements describe the essential outcomes.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Performance criteria describe the performance needed to demonstrate achievement of the element.</w:t>
            </w:r>
          </w:p>
        </w:tc>
      </w:tr>
      <w:tr w:rsidTr="008B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rPr>
                <w:rStyle w:val="SpecialBold"/>
              </w:rPr>
              <w:t>1</w:t>
            </w: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rPr>
                <w:rStyle w:val="SpecialBold"/>
              </w:rPr>
              <w:t>Determine eligibility for preferential tariff rates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rPr>
                <w:rStyle w:val="SpecialBold"/>
              </w:rPr>
              <w:t>1.1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Place or country of origin of goods presented for clearance are identified in accordance with commer</w:t>
            </w:r>
            <w:r w:rsidRPr="008B7279">
              <w:t xml:space="preserve">cial </w:t>
            </w:r>
            <w:r w:rsidRPr="008B7279">
              <w:t>documents, including certificates of origin</w:t>
            </w:r>
          </w:p>
        </w:tc>
      </w:tr>
      <w:tr w:rsidTr="008B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>
            <w:pPr>
              <w:pStyle w:val="BodyText"/>
              <w:keepLines w:val="0"/>
              <w:spacing w:before="0" w:after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rPr>
                <w:rStyle w:val="SpecialBold"/>
              </w:rPr>
              <w:t>1.2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Eligibility for preferential tariff rates is assessed in accordance with commercial documents, relevant legislation and trade agreements</w:t>
            </w:r>
          </w:p>
        </w:tc>
      </w:tr>
      <w:tr w:rsidTr="008B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>
            <w:pPr>
              <w:pStyle w:val="BodyText"/>
              <w:keepLines w:val="0"/>
              <w:spacing w:before="0" w:after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rPr>
                <w:rStyle w:val="SpecialBold"/>
              </w:rPr>
              <w:t>1.3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Goods presented for clearance are checked to confirm eligibility and/or compliance with Customs Act as amended and/or other legislation and associated rules of origin and preference</w:t>
            </w:r>
          </w:p>
        </w:tc>
      </w:tr>
      <w:tr w:rsidTr="008B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>
            <w:pPr>
              <w:pStyle w:val="BodyText"/>
              <w:keepLines w:val="0"/>
              <w:spacing w:before="0" w:after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rPr>
                <w:rStyle w:val="SpecialBold"/>
              </w:rPr>
              <w:t>1.4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Certificates and/or declarations of origin are checked for accuracy</w:t>
            </w:r>
            <w:r w:rsidRPr="008B7279">
              <w:t xml:space="preserve"> and compliance with legislation and/or customs policy as required</w:t>
            </w:r>
          </w:p>
        </w:tc>
      </w:tr>
      <w:tr w:rsidTr="008B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>
            <w:pPr>
              <w:pStyle w:val="BodyText"/>
              <w:keepLines w:val="0"/>
              <w:spacing w:before="0" w:after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rPr>
                <w:rStyle w:val="SpecialBold"/>
              </w:rPr>
              <w:t>1.5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Compliance with consignment rules is confirmed as required</w:t>
            </w:r>
          </w:p>
        </w:tc>
      </w:tr>
      <w:tr w:rsidTr="008B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rPr>
                <w:rStyle w:val="SpecialBold"/>
              </w:rPr>
              <w:t>2</w:t>
            </w: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rPr>
                <w:rStyle w:val="SpecialBold"/>
              </w:rPr>
              <w:t>Apply relevant preference scheme</w:t>
            </w:r>
            <w:r w:rsidRPr="008B7279">
              <w:t>s</w:t>
            </w:r>
            <w:r w:rsidRPr="008B7279">
              <w:rPr>
                <w:rStyle w:val="SpecialBold"/>
              </w:rPr>
              <w:t xml:space="preserve"> or free trade agreement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rPr>
                <w:rStyle w:val="SpecialBold"/>
              </w:rPr>
              <w:t>2.1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Requirements of relevant preference schemes are identified</w:t>
            </w:r>
            <w:r w:rsidRPr="008B7279">
              <w:t>, interpreted and applied in accordance with relevant legislation</w:t>
            </w:r>
          </w:p>
        </w:tc>
      </w:tr>
      <w:tr w:rsidTr="008B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>
            <w:pPr>
              <w:pStyle w:val="BodyText"/>
              <w:keepLines w:val="0"/>
              <w:spacing w:before="0" w:after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rPr>
                <w:rStyle w:val="SpecialBold"/>
              </w:rPr>
              <w:t>2.2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Requirements of relevant free trade agreements are identified, interpreted and applied in accordance with relevant legislation</w:t>
            </w:r>
          </w:p>
        </w:tc>
      </w:tr>
      <w:tr w:rsidTr="008B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rPr>
                <w:rStyle w:val="SpecialBold"/>
              </w:rPr>
              <w:t>3</w:t>
            </w: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rPr>
                <w:rStyle w:val="SpecialBold"/>
              </w:rPr>
              <w:t>Establish relevant duty rate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rPr>
                <w:rStyle w:val="SpecialBold"/>
              </w:rPr>
              <w:t>3.1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Relevant tariff schedule is referenced in accordance with legislation</w:t>
            </w:r>
          </w:p>
        </w:tc>
      </w:tr>
      <w:tr w:rsidTr="008B72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19" w:type="dxa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>
            <w:pPr>
              <w:pStyle w:val="BodyText"/>
              <w:keepLines w:val="0"/>
              <w:spacing w:before="0" w:after="0"/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rPr>
                <w:rStyle w:val="SpecialBold"/>
              </w:rPr>
              <w:t>3.2</w:t>
            </w:r>
          </w:p>
        </w:tc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t>Relevant duty rate is confirmed and applied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7" w:name="O_1232740"/>
      <w:bookmarkEnd w:id="7"/>
      <w:r w:rsidRPr="008B72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t>Foundation skills essential to performance are explicit in the performance criteria of this uni</w:t>
            </w:r>
            <w:r w:rsidRPr="008B7279">
              <w:t>t of competency.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8" w:name="O_1232741"/>
      <w:bookmarkEnd w:id="8"/>
      <w:r w:rsidRPr="008B72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t>Range is restricted to essential operating conditions and any other variables essential to the work environment.</w:t>
            </w:r>
          </w:p>
          <w:p w:rsidR="00000000" w:rsidRPr="008B7279" w:rsidP="008B7279">
            <w:pPr>
              <w:pStyle w:val="BodyText"/>
            </w:pPr>
            <w:r w:rsidRPr="008B7279">
              <w:t>Non-essential conditions can be found in the TLI Transport and Logistics Training Package Companion Volume Implementation Guide.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9" w:name="O_1232742"/>
      <w:bookmarkEnd w:id="9"/>
      <w:r w:rsidRPr="008B72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t>This unit replaces and is equivalent to TLIX5050 Determine origin of goods and a</w:t>
            </w:r>
            <w:r w:rsidRPr="008B7279">
              <w:t>pply preference schemes or free trade agreements.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10" w:name="O_1232749"/>
      <w:bookmarkEnd w:id="10"/>
      <w:r w:rsidRPr="008B7279">
        <w:t>Links</w:t>
      </w:r>
    </w:p>
    <w:p w:rsidR="00000000" w:rsidRPr="008B7279" w:rsidP="00917079">
      <w:pPr>
        <w:pStyle w:val="BodyText"/>
      </w:pPr>
      <w:r w:rsidRPr="008B72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6C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7279" w:rsidP="00917079">
      <w:pPr>
        <w:pStyle w:val="BodyText"/>
        <w:sectPr w:rsidSect="008B72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7279" w:rsidP="008B7279">
      <w:pPr>
        <w:pStyle w:val="SuperHeading"/>
      </w:pPr>
      <w:r w:rsidRPr="008B7279">
        <w:t>Assessment Requirements for TLIX0044 Determine origin of goods and apply preference schemes or free trade agreements</w:t>
      </w:r>
    </w:p>
    <w:p w:rsidR="00000000" w:rsidRPr="008B7279" w:rsidP="008B7279">
      <w:pPr>
        <w:pStyle w:val="Heading1"/>
      </w:pPr>
      <w:bookmarkStart w:id="11" w:name="O_1232744"/>
      <w:bookmarkEnd w:id="11"/>
      <w:r w:rsidRPr="008B72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rPr>
                <w:rStyle w:val="SpecialBold"/>
              </w:rPr>
              <w:t>Release 1</w:t>
            </w:r>
            <w:r w:rsidRPr="008B7279">
              <w:t>. This is the first release of this unit of competency in the TLI Tran</w:t>
            </w:r>
            <w:r w:rsidRPr="008B7279">
              <w:t>sport and Logistics Training Package.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12" w:name="O_1232745"/>
      <w:bookmarkEnd w:id="12"/>
      <w:r w:rsidRPr="008B727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Evidence required to demonstrate competence in this unit must be relevant to and satisfy all of the requirements of the elements and performance criteria on at least one occas</w:t>
            </w:r>
            <w:r w:rsidRPr="008B7279">
              <w:t>ion and include:</w:t>
            </w:r>
          </w:p>
        </w:tc>
      </w:tr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ListBullet"/>
            </w:pPr>
            <w:r w:rsidRPr="008B7279">
              <w:t>applying correct preference scheme and rule or origin</w:t>
            </w:r>
          </w:p>
          <w:p w:rsidR="00000000" w:rsidRPr="008B7279" w:rsidP="008B7279">
            <w:pPr>
              <w:pStyle w:val="ListBullet"/>
            </w:pPr>
            <w:r w:rsidRPr="008B7279">
              <w:t>assessing evidence of compliance accurately</w:t>
            </w:r>
          </w:p>
          <w:p w:rsidR="00000000" w:rsidRPr="008B7279" w:rsidP="008B7279">
            <w:pPr>
              <w:pStyle w:val="ListBullet"/>
            </w:pPr>
            <w:r w:rsidRPr="008B7279">
              <w:t xml:space="preserve">establishing origin code, preference scheme and rule of origin </w:t>
            </w:r>
          </w:p>
          <w:p w:rsidR="00000000" w:rsidRPr="008B7279" w:rsidP="008B7279">
            <w:pPr>
              <w:pStyle w:val="ListBullet"/>
            </w:pPr>
            <w:r w:rsidRPr="008B7279">
              <w:t>identifying and applying consignment rules</w:t>
            </w:r>
          </w:p>
          <w:p w:rsidR="00000000" w:rsidRPr="008B7279" w:rsidP="008B7279">
            <w:pPr>
              <w:pStyle w:val="ListBullet"/>
            </w:pPr>
            <w:r w:rsidRPr="008B7279">
              <w:t>identifying the requirements of preference schemes and/or free trade agreements</w:t>
            </w:r>
          </w:p>
          <w:p w:rsidR="00000000" w:rsidRPr="008B7279" w:rsidP="008B7279">
            <w:pPr>
              <w:pStyle w:val="ListBullet"/>
            </w:pPr>
            <w:r w:rsidRPr="008B7279">
              <w:t>interpreting and applying relevant free trade agreement</w:t>
            </w:r>
          </w:p>
          <w:p w:rsidR="00000000" w:rsidRPr="008B7279" w:rsidP="008B7279">
            <w:pPr>
              <w:pStyle w:val="ListBullet"/>
            </w:pPr>
            <w:r w:rsidRPr="008B7279">
              <w:t>identifying:</w:t>
            </w:r>
          </w:p>
          <w:p w:rsidR="00000000" w:rsidRPr="008B7279" w:rsidP="008B7279">
            <w:pPr>
              <w:pStyle w:val="ListBullet2"/>
            </w:pPr>
            <w:r w:rsidRPr="008B7279">
              <w:t>eligible goods for preference purposes</w:t>
            </w:r>
          </w:p>
          <w:p w:rsidR="00000000" w:rsidRPr="008B7279" w:rsidP="008B7279">
            <w:pPr>
              <w:pStyle w:val="ListBullet2"/>
            </w:pPr>
            <w:r w:rsidRPr="008B7279">
              <w:t>places and countries where preferential tariff rates may apply.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13" w:name="O_1232746"/>
      <w:bookmarkEnd w:id="13"/>
      <w:r w:rsidRPr="008B727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279">
            <w:pPr>
              <w:pStyle w:val="BodyText"/>
              <w:rPr>
                <w:lang w:val="en-NZ"/>
              </w:rPr>
            </w:pPr>
            <w:r w:rsidRPr="008B727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ListBullet"/>
            </w:pPr>
            <w:r w:rsidRPr="008B7279">
              <w:t>Australia’s current free trade agree</w:t>
            </w:r>
            <w:r w:rsidRPr="008B7279">
              <w:t>ments</w:t>
            </w:r>
          </w:p>
          <w:p w:rsidR="00000000" w:rsidRPr="008B7279" w:rsidP="008B7279">
            <w:pPr>
              <w:pStyle w:val="ListBullet"/>
            </w:pPr>
            <w:r w:rsidRPr="008B7279">
              <w:t>free trade agreements that Australia has under negotiation</w:t>
            </w:r>
          </w:p>
          <w:p w:rsidR="00000000" w:rsidRPr="008B7279" w:rsidP="008B7279">
            <w:pPr>
              <w:pStyle w:val="ListBullet"/>
            </w:pPr>
            <w:r w:rsidRPr="008B7279">
              <w:t>function of a Certificate of Origin or Declaration of Origin</w:t>
            </w:r>
          </w:p>
          <w:p w:rsidR="00000000" w:rsidRPr="008B7279" w:rsidP="008B7279">
            <w:pPr>
              <w:pStyle w:val="ListBullet"/>
            </w:pPr>
            <w:r w:rsidRPr="008B7279">
              <w:t>how to determine:</w:t>
            </w:r>
          </w:p>
          <w:p w:rsidR="00000000" w:rsidRPr="008B7279" w:rsidP="008B7279">
            <w:pPr>
              <w:pStyle w:val="ListBullet2"/>
            </w:pPr>
            <w:r w:rsidRPr="008B7279">
              <w:t>duty rates under preferential tariff schemes and free trade agreements</w:t>
            </w:r>
          </w:p>
          <w:p w:rsidR="00000000" w:rsidRPr="008B7279" w:rsidP="008B7279">
            <w:pPr>
              <w:pStyle w:val="ListBullet2"/>
            </w:pPr>
            <w:r w:rsidRPr="008B7279">
              <w:t>consignment rules under preferential tariff schemes and free trade agreements</w:t>
            </w:r>
          </w:p>
          <w:p w:rsidR="00000000" w:rsidRPr="008B7279" w:rsidP="008B7279">
            <w:pPr>
              <w:pStyle w:val="ListBullet2"/>
            </w:pPr>
            <w:r w:rsidRPr="008B7279">
              <w:t>rules of origin under preferential tariff schemes and free trade agreements</w:t>
            </w:r>
          </w:p>
          <w:p w:rsidR="00000000" w:rsidRPr="008B7279" w:rsidP="008B7279">
            <w:pPr>
              <w:pStyle w:val="ListBullet"/>
            </w:pPr>
            <w:r w:rsidRPr="008B7279">
              <w:t>legislative requirements for determining:</w:t>
            </w:r>
          </w:p>
          <w:p w:rsidR="00000000" w:rsidRPr="008B7279" w:rsidP="008B7279">
            <w:pPr>
              <w:pStyle w:val="ListBullet2"/>
            </w:pPr>
            <w:r w:rsidRPr="008B7279">
              <w:t>eligibility for preferential rates</w:t>
            </w:r>
          </w:p>
          <w:p w:rsidR="00000000" w:rsidRPr="008B7279" w:rsidP="008B7279">
            <w:pPr>
              <w:pStyle w:val="ListBullet2"/>
            </w:pPr>
            <w:r w:rsidRPr="008B7279">
              <w:t>origin of goods</w:t>
            </w:r>
          </w:p>
          <w:p w:rsidR="00000000" w:rsidRPr="008B7279" w:rsidP="008B7279">
            <w:pPr>
              <w:pStyle w:val="ListBullet"/>
            </w:pPr>
            <w:r w:rsidRPr="008B7279">
              <w:t>mandat</w:t>
            </w:r>
            <w:r w:rsidRPr="008B7279">
              <w:t>ory content of a Certificate and/or Declaration of Origin</w:t>
            </w:r>
          </w:p>
          <w:p w:rsidR="00000000" w:rsidRPr="008B7279" w:rsidP="008B7279">
            <w:pPr>
              <w:pStyle w:val="ListBullet"/>
            </w:pPr>
            <w:r w:rsidRPr="008B7279">
              <w:t>types of preferential tariff schemes including classes of countries and places where special rates apply</w:t>
            </w:r>
          </w:p>
          <w:p w:rsidR="00000000" w:rsidRPr="008B7279" w:rsidP="008B7279">
            <w:pPr>
              <w:pStyle w:val="ListBullet"/>
            </w:pPr>
            <w:r w:rsidRPr="008B7279">
              <w:t>use of advance ruling</w:t>
            </w:r>
          </w:p>
          <w:p w:rsidR="00000000" w:rsidRPr="008B7279" w:rsidP="008B7279">
            <w:pPr>
              <w:pStyle w:val="ListBullet2"/>
            </w:pPr>
            <w:r w:rsidRPr="008B7279">
              <w:t>benefits and use</w:t>
            </w:r>
          </w:p>
          <w:p w:rsidR="00000000" w:rsidRPr="008B7279" w:rsidP="008B7279">
            <w:pPr>
              <w:pStyle w:val="ListBullet2"/>
            </w:pPr>
            <w:r w:rsidRPr="008B7279">
              <w:t>origin of advance rulings</w:t>
            </w:r>
          </w:p>
          <w:p w:rsidR="00000000" w:rsidRPr="008B7279" w:rsidP="008B7279">
            <w:pPr>
              <w:pStyle w:val="ListBullet2"/>
            </w:pPr>
            <w:r w:rsidRPr="008B7279">
              <w:t>review processes.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14" w:name="O_1232747"/>
      <w:bookmarkEnd w:id="14"/>
      <w:r w:rsidRPr="008B727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B72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279" w:rsidP="008B7279">
            <w:pPr>
              <w:pStyle w:val="BodyText"/>
            </w:pPr>
            <w:r w:rsidRPr="008B7279">
              <w:t xml:space="preserve">Assessors must hold credentials specified within the Standards for Registered Training Organisations current at the time of assessment. </w:t>
            </w:r>
          </w:p>
          <w:p w:rsidR="00000000" w:rsidRPr="008B7279" w:rsidP="008B7279">
            <w:pPr>
              <w:pStyle w:val="BodyText"/>
            </w:pPr>
            <w:r w:rsidRPr="008B7279">
              <w:t xml:space="preserve">Assessment must satisfy the Principles of Assessment and Rules of Evidence and </w:t>
            </w:r>
            <w:r w:rsidRPr="008B7279">
              <w:t>all regulatory requirements included within the Standards for Registered Training Organisations current at the time of assessment.</w:t>
            </w:r>
          </w:p>
          <w:p w:rsidR="00000000" w:rsidRPr="008B7279" w:rsidP="008B7279">
            <w:pPr>
              <w:pStyle w:val="BodyText"/>
            </w:pPr>
            <w:r w:rsidRPr="008B7279">
              <w:t>Assessment must occur in workplace operational situations where it is appropriate to do so; where this is not appropriate, as</w:t>
            </w:r>
            <w:r w:rsidRPr="008B7279">
              <w:t xml:space="preserve">sessment must occur in simulated workplace operational situations that replicate workplace conditions. </w:t>
            </w:r>
          </w:p>
          <w:p w:rsidR="00000000" w:rsidRPr="008B7279" w:rsidP="008B7279">
            <w:pPr>
              <w:pStyle w:val="BodyText"/>
            </w:pPr>
            <w:r w:rsidRPr="008B7279">
              <w:t>Assessment processes and techniques must be appropriate to the language, literacy and numeracy requirements of the work being performed and the needs of</w:t>
            </w:r>
            <w:r w:rsidRPr="008B7279">
              <w:t xml:space="preserve"> the candidate.</w:t>
            </w:r>
          </w:p>
          <w:p w:rsidR="00000000" w:rsidRPr="008B7279" w:rsidP="008B7279">
            <w:pPr>
              <w:pStyle w:val="BodyText"/>
            </w:pPr>
            <w:r w:rsidRPr="008B7279">
              <w:t>Resources for assessment must include access to:</w:t>
            </w:r>
          </w:p>
          <w:p w:rsidR="00000000" w:rsidRPr="008B7279" w:rsidP="008B7279">
            <w:pPr>
              <w:pStyle w:val="ListBullet"/>
            </w:pPr>
            <w:r w:rsidRPr="008B7279">
              <w:t>a range of relevant exercises, case studies and/or simulations</w:t>
            </w:r>
          </w:p>
          <w:p w:rsidR="00000000" w:rsidRPr="008B7279" w:rsidP="008B7279">
            <w:pPr>
              <w:pStyle w:val="ListBullet"/>
            </w:pPr>
            <w:r w:rsidRPr="008B7279">
              <w:t>applicable documentation including workplace procedures, regulations, codes of practice and operation manuals.</w:t>
            </w:r>
          </w:p>
        </w:tc>
      </w:tr>
    </w:tbl>
    <w:p w:rsidR="00917079" w:rsidP="008B7279">
      <w:pPr>
        <w:pStyle w:val="NoPaddingFontSize1"/>
      </w:pPr>
    </w:p>
    <w:p w:rsidR="00917079" w:rsidP="008B7279">
      <w:pPr>
        <w:pStyle w:val="NoPaddingFontSize1"/>
      </w:pPr>
    </w:p>
    <w:p w:rsidR="00000000" w:rsidRPr="008B7279" w:rsidP="008B7279">
      <w:pPr>
        <w:pStyle w:val="Heading1"/>
      </w:pPr>
      <w:bookmarkStart w:id="15" w:name="O_1232750"/>
      <w:bookmarkEnd w:id="15"/>
      <w:r w:rsidRPr="008B7279">
        <w:t>Links</w:t>
      </w:r>
    </w:p>
    <w:p w:rsidR="00000000" w:rsidRPr="008B7279" w:rsidP="00917079">
      <w:pPr>
        <w:pStyle w:val="BodyText"/>
      </w:pPr>
      <w:r w:rsidRPr="008B72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26C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B7279" w:rsidP="008B7279"/>
    <w:sectPr w:rsidSect="008B72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79" w:rsidRPr="00917079" w:rsidP="009170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79" w:rsidP="008B7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079" w:rsidP="008B7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17079" w:rsidP="008B72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79" w:rsidP="008B72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7079">
      <w:t>Approved</w:t>
    </w:r>
    <w:r w:rsidR="009170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70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7079">
      <w:rPr>
        <w:noProof/>
      </w:rPr>
      <w:t>4</w:t>
    </w:r>
    <w:r>
      <w:rPr>
        <w:noProof/>
      </w:rPr>
      <w:fldChar w:fldCharType="end"/>
    </w:r>
  </w:p>
  <w:p w:rsidR="008B7279" w:rsidP="008B72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70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7079">
      <w:t>Industry Skills Australia</w:t>
    </w:r>
    <w:r w:rsidR="00917079">
      <w:fldChar w:fldCharType="end"/>
    </w:r>
  </w:p>
  <w:p w:rsidR="008B7279" w:rsidP="008B72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279" w:rsidRPr="00917079" w:rsidP="009170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079" w:rsidRPr="002D2AF8" w:rsidP="008B7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TLIX0044 Determine origin of goods and apply preference schemes or free trade agreements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7079" w:rsidP="008B72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79" w:rsidRPr="002D2AF8" w:rsidP="008B72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7079">
      <w:t>TLIX0044 Determine origin of goods and apply preference schemes or free trade agreements</w:t>
    </w:r>
    <w:r w:rsidR="009170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7079">
      <w:rPr>
        <w:noProof/>
      </w:rPr>
      <w:t>1 March 2025</w:t>
    </w:r>
    <w:r>
      <w:fldChar w:fldCharType="end"/>
    </w:r>
  </w:p>
  <w:p w:rsidR="008B7279" w:rsidP="008B72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101E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663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400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2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2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2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2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2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2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2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2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2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2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2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279"/>
  </w:style>
  <w:style w:type="character" w:customStyle="1" w:styleId="Heading1Char">
    <w:name w:val="Heading 1 Char"/>
    <w:basedOn w:val="DefaultParagraphFont"/>
    <w:link w:val="Heading1"/>
    <w:rsid w:val="008B72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2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2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2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279"/>
    <w:rPr>
      <w:b/>
      <w:spacing w:val="0"/>
    </w:rPr>
  </w:style>
  <w:style w:type="paragraph" w:styleId="ListBullet2">
    <w:name w:val="List Bullet 2"/>
    <w:basedOn w:val="List2"/>
    <w:rsid w:val="008B72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B72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2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B72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2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2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2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2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2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2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2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2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2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2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2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2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2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2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2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2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2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2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2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2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72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2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2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2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2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2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2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2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2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7279"/>
    <w:rPr>
      <w:i/>
    </w:rPr>
  </w:style>
  <w:style w:type="paragraph" w:styleId="Caption">
    <w:name w:val="caption"/>
    <w:basedOn w:val="BodyText"/>
    <w:next w:val="Normal"/>
    <w:qFormat/>
    <w:rsid w:val="008B72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2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2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279"/>
  </w:style>
  <w:style w:type="paragraph" w:styleId="TableofFigures">
    <w:name w:val="table of figures"/>
    <w:basedOn w:val="Normal"/>
    <w:next w:val="Normal"/>
    <w:semiHidden/>
    <w:rsid w:val="008B72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2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7279"/>
    <w:rPr>
      <w:rFonts w:ascii="Wingdings" w:hAnsi="Wingdings"/>
    </w:rPr>
  </w:style>
  <w:style w:type="paragraph" w:customStyle="1" w:styleId="TableHeading">
    <w:name w:val="Table Heading"/>
    <w:basedOn w:val="HeadingBase"/>
    <w:rsid w:val="008B72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279"/>
    <w:rPr>
      <w:color w:val="0033CC"/>
      <w:u w:val="none"/>
    </w:rPr>
  </w:style>
  <w:style w:type="paragraph" w:customStyle="1" w:styleId="BodyTextRight">
    <w:name w:val="Body Text Right"/>
    <w:basedOn w:val="BodyText"/>
    <w:rsid w:val="008B72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2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2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2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2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2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279"/>
    <w:rPr>
      <w:sz w:val="32"/>
    </w:rPr>
  </w:style>
  <w:style w:type="paragraph" w:customStyle="1" w:styleId="HeadingProcedure">
    <w:name w:val="Heading Procedure"/>
    <w:basedOn w:val="HeadingBase"/>
    <w:next w:val="Normal"/>
    <w:rsid w:val="008B72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279"/>
    <w:pPr>
      <w:spacing w:before="60" w:after="60"/>
    </w:pPr>
  </w:style>
  <w:style w:type="paragraph" w:styleId="ListContinue">
    <w:name w:val="List Continue"/>
    <w:basedOn w:val="List"/>
    <w:rsid w:val="008B7279"/>
    <w:pPr>
      <w:ind w:firstLine="0"/>
    </w:pPr>
  </w:style>
  <w:style w:type="paragraph" w:customStyle="1" w:styleId="ListNote">
    <w:name w:val="List Note"/>
    <w:basedOn w:val="List"/>
    <w:rsid w:val="008B72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2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2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279"/>
    <w:rPr>
      <w:rFonts w:ascii="Courier New" w:hAnsi="Courier New"/>
    </w:rPr>
  </w:style>
  <w:style w:type="paragraph" w:customStyle="1" w:styleId="NoteBullet">
    <w:name w:val="Note Bullet"/>
    <w:basedOn w:val="Note"/>
    <w:rsid w:val="008B72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2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2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2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2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72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2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279"/>
    <w:rPr>
      <w:b/>
      <w:smallCaps/>
    </w:rPr>
  </w:style>
  <w:style w:type="paragraph" w:customStyle="1" w:styleId="TableListNumber">
    <w:name w:val="Table List Number"/>
    <w:basedOn w:val="ListNumber"/>
    <w:rsid w:val="008B72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2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279"/>
    <w:pPr>
      <w:numPr>
        <w:numId w:val="9"/>
      </w:numPr>
    </w:pPr>
  </w:style>
  <w:style w:type="paragraph" w:customStyle="1" w:styleId="ListAlpha2">
    <w:name w:val="List Alpha 2"/>
    <w:basedOn w:val="List2"/>
    <w:rsid w:val="008B7279"/>
    <w:pPr>
      <w:numPr>
        <w:numId w:val="8"/>
      </w:numPr>
    </w:pPr>
  </w:style>
  <w:style w:type="paragraph" w:styleId="List2">
    <w:name w:val="List 2"/>
    <w:basedOn w:val="BodyText"/>
    <w:rsid w:val="008B72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2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2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2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2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2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7279"/>
    <w:pPr>
      <w:numPr>
        <w:numId w:val="4"/>
      </w:numPr>
    </w:pPr>
  </w:style>
  <w:style w:type="paragraph" w:styleId="ListContinue2">
    <w:name w:val="List Continue 2"/>
    <w:basedOn w:val="List2"/>
    <w:rsid w:val="008B7279"/>
    <w:pPr>
      <w:ind w:firstLine="0"/>
    </w:pPr>
  </w:style>
  <w:style w:type="paragraph" w:styleId="ListContinue3">
    <w:name w:val="List Continue 3"/>
    <w:basedOn w:val="List3"/>
    <w:rsid w:val="008B7279"/>
    <w:pPr>
      <w:ind w:left="1021" w:firstLine="0"/>
    </w:pPr>
  </w:style>
  <w:style w:type="paragraph" w:styleId="ListContinue4">
    <w:name w:val="List Continue 4"/>
    <w:basedOn w:val="List4"/>
    <w:rsid w:val="008B7279"/>
    <w:pPr>
      <w:ind w:firstLine="0"/>
    </w:pPr>
  </w:style>
  <w:style w:type="paragraph" w:styleId="ListContinue5">
    <w:name w:val="List Continue 5"/>
    <w:basedOn w:val="List5"/>
    <w:rsid w:val="008B7279"/>
    <w:pPr>
      <w:ind w:firstLine="0"/>
    </w:pPr>
  </w:style>
  <w:style w:type="paragraph" w:styleId="ListNumber3">
    <w:name w:val="List Number 3"/>
    <w:basedOn w:val="List3"/>
    <w:rsid w:val="008B7279"/>
    <w:pPr>
      <w:numPr>
        <w:numId w:val="5"/>
      </w:numPr>
    </w:pPr>
  </w:style>
  <w:style w:type="paragraph" w:styleId="ListNumber4">
    <w:name w:val="List Number 4"/>
    <w:basedOn w:val="List4"/>
    <w:rsid w:val="008B7279"/>
    <w:pPr>
      <w:numPr>
        <w:numId w:val="6"/>
      </w:numPr>
    </w:pPr>
  </w:style>
  <w:style w:type="paragraph" w:styleId="ListNumber5">
    <w:name w:val="List Number 5"/>
    <w:basedOn w:val="List5"/>
    <w:rsid w:val="008B7279"/>
    <w:pPr>
      <w:numPr>
        <w:numId w:val="7"/>
      </w:numPr>
    </w:pPr>
  </w:style>
  <w:style w:type="paragraph" w:styleId="BlockText">
    <w:name w:val="Block Text"/>
    <w:basedOn w:val="Normal"/>
    <w:rsid w:val="008B72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2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279"/>
    <w:rPr>
      <w:sz w:val="16"/>
      <w:vertAlign w:val="superscript"/>
    </w:rPr>
  </w:style>
  <w:style w:type="character" w:customStyle="1" w:styleId="Symbols">
    <w:name w:val="Symbols"/>
    <w:basedOn w:val="DefaultParagraphFont"/>
    <w:rsid w:val="008B7279"/>
    <w:rPr>
      <w:rFonts w:ascii="Symbol" w:hAnsi="Symbol"/>
    </w:rPr>
  </w:style>
  <w:style w:type="character" w:customStyle="1" w:styleId="MenuOptions">
    <w:name w:val="Menu Options"/>
    <w:basedOn w:val="DefaultParagraphFont"/>
    <w:rsid w:val="008B72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279"/>
    <w:rPr>
      <w:b/>
    </w:rPr>
  </w:style>
  <w:style w:type="character" w:customStyle="1" w:styleId="Underlined">
    <w:name w:val="Underlined"/>
    <w:basedOn w:val="DefaultParagraphFont"/>
    <w:rsid w:val="008B7279"/>
    <w:rPr>
      <w:u w:val="single"/>
    </w:rPr>
  </w:style>
  <w:style w:type="paragraph" w:customStyle="1" w:styleId="TableBodyTextRight">
    <w:name w:val="Table Body Text Right"/>
    <w:basedOn w:val="TableBodyText"/>
    <w:rsid w:val="008B72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279"/>
    <w:rPr>
      <w:sz w:val="18"/>
    </w:rPr>
  </w:style>
  <w:style w:type="paragraph" w:customStyle="1" w:styleId="BodySmallRight">
    <w:name w:val="Body Small Right"/>
    <w:basedOn w:val="BodyTextRight"/>
    <w:rsid w:val="008B7279"/>
    <w:rPr>
      <w:sz w:val="18"/>
      <w:szCs w:val="18"/>
    </w:rPr>
  </w:style>
  <w:style w:type="paragraph" w:customStyle="1" w:styleId="MarginEdition">
    <w:name w:val="Margin Edition"/>
    <w:basedOn w:val="MarginNote"/>
    <w:rsid w:val="008B72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279"/>
    <w:rPr>
      <w:sz w:val="2"/>
      <w:szCs w:val="2"/>
    </w:rPr>
  </w:style>
  <w:style w:type="character" w:customStyle="1" w:styleId="Small">
    <w:name w:val="Small"/>
    <w:basedOn w:val="DefaultParagraphFont"/>
    <w:rsid w:val="008B7279"/>
    <w:rPr>
      <w:sz w:val="16"/>
    </w:rPr>
  </w:style>
  <w:style w:type="paragraph" w:customStyle="1" w:styleId="WideTable">
    <w:name w:val="Wide Table"/>
    <w:basedOn w:val="Normal"/>
    <w:rsid w:val="008B72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279"/>
  </w:style>
  <w:style w:type="paragraph" w:styleId="Quote">
    <w:name w:val="Quote"/>
    <w:basedOn w:val="Heading1"/>
    <w:link w:val="QuoteChar"/>
    <w:qFormat/>
    <w:rsid w:val="008B72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2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279"/>
    <w:pPr>
      <w:pageBreakBefore/>
    </w:pPr>
  </w:style>
  <w:style w:type="paragraph" w:customStyle="1" w:styleId="Border">
    <w:name w:val="Border"/>
    <w:basedOn w:val="Normal"/>
    <w:qFormat/>
    <w:rsid w:val="008B72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2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2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2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2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2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2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2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2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279"/>
    <w:rPr>
      <w:u w:val="single"/>
    </w:rPr>
  </w:style>
  <w:style w:type="character" w:customStyle="1" w:styleId="BoldandItalics">
    <w:name w:val="Bold and Italics"/>
    <w:qFormat/>
    <w:rsid w:val="008B7279"/>
    <w:rPr>
      <w:b/>
      <w:i/>
      <w:u w:val="none"/>
    </w:rPr>
  </w:style>
  <w:style w:type="paragraph" w:styleId="BalloonText">
    <w:name w:val="Balloon Text"/>
    <w:basedOn w:val="Normal"/>
    <w:link w:val="BalloonTextChar"/>
    <w:rsid w:val="008B72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2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2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2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2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2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279"/>
    <w:pPr>
      <w:spacing w:before="0" w:after="0"/>
    </w:pPr>
  </w:style>
  <w:style w:type="paragraph" w:customStyle="1" w:styleId="BodyTextBold">
    <w:name w:val="Body Text Bold"/>
    <w:basedOn w:val="BodyText"/>
    <w:qFormat/>
    <w:rsid w:val="008B7279"/>
    <w:rPr>
      <w:b/>
    </w:rPr>
  </w:style>
  <w:style w:type="character" w:styleId="Hyperlink">
    <w:name w:val="Hyperlink"/>
    <w:basedOn w:val="DefaultParagraphFont"/>
    <w:uiPriority w:val="99"/>
    <w:unhideWhenUsed/>
    <w:rsid w:val="009170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882</Words>
  <Characters>5615</Characters>
  <Application>Microsoft Office Word</Application>
  <DocSecurity>0</DocSecurity>
  <Lines>207</Lines>
  <Paragraphs>116</Paragraphs>
  <ScaleCrop>false</ScaleCrop>
  <Company>Author-it Software Corporation Ltd.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TLIX0044 Determine origin of goods and apply preference schemes or free trade agreements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2025-03-01T09:32:00Z</dcterms:created>
  <dcterms:modified xsi:type="dcterms:W3CDTF">2025-03-01T09:32:00Z</dcterms:modified>
</cp:coreProperties>
</file>