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5E2" w:rsidP="00F54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TLIX0044 Determine origin of goods and apply preference schemes or free trade agreements</w:t>
      </w:r>
      <w:r>
        <w:fldChar w:fldCharType="end"/>
      </w:r>
    </w:p>
    <w:p w:rsidR="00F545E2" w:rsidP="00F545E2">
      <w:pPr>
        <w:pStyle w:val="Version"/>
        <w:sectPr w:rsidSect="00427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381" w:rsidP="00427381">
      <w:pPr>
        <w:pStyle w:val="SuperHeading"/>
      </w:pPr>
      <w:r w:rsidRPr="00427381">
        <w:t>Assessment Requirements for TLIX0044 Determine origin of goods and apply preference schemes or free trade agreements</w:t>
      </w:r>
    </w:p>
    <w:p w:rsidR="00000000" w:rsidRPr="00427381" w:rsidP="00427381">
      <w:pPr>
        <w:pStyle w:val="Heading1"/>
      </w:pPr>
      <w:bookmarkStart w:id="1" w:name="O_1232744"/>
      <w:bookmarkEnd w:id="1"/>
      <w:r w:rsidRPr="004273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81" w:rsidP="00427381">
            <w:pPr>
              <w:pStyle w:val="BodyText"/>
            </w:pPr>
            <w:r w:rsidRPr="00427381">
              <w:rPr>
                <w:rStyle w:val="SpecialBold"/>
              </w:rPr>
              <w:t>Release 1</w:t>
            </w:r>
            <w:r w:rsidRPr="00427381">
              <w:t>. This is the first release of this unit of competency in the TLI Transport and Logistics Training Package.</w:t>
            </w:r>
          </w:p>
        </w:tc>
      </w:tr>
    </w:tbl>
    <w:p w:rsidR="00F545E2" w:rsidP="00427381">
      <w:pPr>
        <w:pStyle w:val="NoPaddingFontSize1"/>
      </w:pPr>
    </w:p>
    <w:p w:rsidR="00F545E2" w:rsidP="00427381">
      <w:pPr>
        <w:pStyle w:val="NoPaddingFontSize1"/>
      </w:pPr>
    </w:p>
    <w:p w:rsidR="00000000" w:rsidRPr="00427381" w:rsidP="00427381">
      <w:pPr>
        <w:pStyle w:val="Heading1"/>
      </w:pPr>
      <w:bookmarkStart w:id="2" w:name="O_1232745"/>
      <w:bookmarkEnd w:id="2"/>
      <w:r w:rsidRPr="004273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81">
            <w:pPr>
              <w:pStyle w:val="BodyText"/>
              <w:rPr>
                <w:lang w:val="en-NZ"/>
              </w:rPr>
            </w:pPr>
            <w:r w:rsidRPr="00427381">
              <w:t>Evidence required to demonstrate competence in this unit must be relevant to and satisfy all of the requi</w:t>
            </w:r>
            <w:r w:rsidRPr="00427381">
              <w:t>rements of the elements and performance criteria on at least one occasion and include:</w:t>
            </w:r>
          </w:p>
        </w:tc>
      </w:tr>
      <w:tr w:rsidTr="00427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81" w:rsidP="00427381">
            <w:pPr>
              <w:pStyle w:val="ListBullet"/>
            </w:pPr>
            <w:r w:rsidRPr="00427381">
              <w:t>applying correct preference scheme and rule or origin</w:t>
            </w:r>
          </w:p>
          <w:p w:rsidR="00000000" w:rsidRPr="00427381" w:rsidP="00427381">
            <w:pPr>
              <w:pStyle w:val="ListBullet"/>
            </w:pPr>
            <w:r w:rsidRPr="00427381">
              <w:t>assessing evidence of compliance accurately</w:t>
            </w:r>
          </w:p>
          <w:p w:rsidR="00000000" w:rsidRPr="00427381" w:rsidP="00427381">
            <w:pPr>
              <w:pStyle w:val="ListBullet"/>
            </w:pPr>
            <w:r w:rsidRPr="00427381">
              <w:t xml:space="preserve">establishing origin code, preference scheme and rule of origin </w:t>
            </w:r>
          </w:p>
          <w:p w:rsidR="00000000" w:rsidRPr="00427381" w:rsidP="00427381">
            <w:pPr>
              <w:pStyle w:val="ListBullet"/>
            </w:pPr>
            <w:r w:rsidRPr="00427381">
              <w:t>ident</w:t>
            </w:r>
            <w:r w:rsidRPr="00427381">
              <w:t>ifying and applying consignment rules</w:t>
            </w:r>
          </w:p>
          <w:p w:rsidR="00000000" w:rsidRPr="00427381" w:rsidP="00427381">
            <w:pPr>
              <w:pStyle w:val="ListBullet"/>
            </w:pPr>
            <w:r w:rsidRPr="00427381">
              <w:t>identifying the requirements of preference schemes and/or free trade agreements</w:t>
            </w:r>
          </w:p>
          <w:p w:rsidR="00000000" w:rsidRPr="00427381" w:rsidP="00427381">
            <w:pPr>
              <w:pStyle w:val="ListBullet"/>
            </w:pPr>
            <w:r w:rsidRPr="00427381">
              <w:t>interpreting and applying relevant free trade agreement</w:t>
            </w:r>
          </w:p>
          <w:p w:rsidR="00000000" w:rsidRPr="00427381" w:rsidP="00427381">
            <w:pPr>
              <w:pStyle w:val="ListBullet"/>
            </w:pPr>
            <w:r w:rsidRPr="00427381">
              <w:t>identifying:</w:t>
            </w:r>
          </w:p>
          <w:p w:rsidR="00000000" w:rsidRPr="00427381" w:rsidP="00427381">
            <w:pPr>
              <w:pStyle w:val="ListBullet2"/>
            </w:pPr>
            <w:r w:rsidRPr="00427381">
              <w:t>eligible goods for preference purposes</w:t>
            </w:r>
          </w:p>
          <w:p w:rsidR="00000000" w:rsidRPr="00427381" w:rsidP="00427381">
            <w:pPr>
              <w:pStyle w:val="ListBullet2"/>
            </w:pPr>
            <w:r w:rsidRPr="00427381">
              <w:t>places and countries where preferential tariff rates may apply.</w:t>
            </w:r>
          </w:p>
        </w:tc>
      </w:tr>
    </w:tbl>
    <w:p w:rsidR="00F545E2" w:rsidP="00427381">
      <w:pPr>
        <w:pStyle w:val="NoPaddingFontSize1"/>
      </w:pPr>
    </w:p>
    <w:p w:rsidR="00F545E2" w:rsidP="00427381">
      <w:pPr>
        <w:pStyle w:val="NoPaddingFontSize1"/>
      </w:pPr>
    </w:p>
    <w:p w:rsidR="00000000" w:rsidRPr="00427381" w:rsidP="00427381">
      <w:pPr>
        <w:pStyle w:val="Heading1"/>
      </w:pPr>
      <w:bookmarkStart w:id="3" w:name="O_1232746"/>
      <w:bookmarkEnd w:id="3"/>
      <w:r w:rsidRPr="004273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81">
            <w:pPr>
              <w:pStyle w:val="BodyText"/>
              <w:rPr>
                <w:lang w:val="en-NZ"/>
              </w:rPr>
            </w:pPr>
            <w:r w:rsidRPr="00427381">
              <w:t xml:space="preserve">Evidence required to demonstrate competence in this unit must be relevant to and satisfy all of the requirements of the elements and performance </w:t>
            </w:r>
            <w:r w:rsidRPr="00427381">
              <w:t>criteria and include knowledge of:</w:t>
            </w:r>
          </w:p>
        </w:tc>
      </w:tr>
      <w:tr w:rsidTr="00427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81" w:rsidP="00427381">
            <w:pPr>
              <w:pStyle w:val="ListBullet"/>
            </w:pPr>
            <w:r w:rsidRPr="00427381">
              <w:t>Australia’s current free trade agreements</w:t>
            </w:r>
          </w:p>
          <w:p w:rsidR="00000000" w:rsidRPr="00427381" w:rsidP="00427381">
            <w:pPr>
              <w:pStyle w:val="ListBullet"/>
            </w:pPr>
            <w:r w:rsidRPr="00427381">
              <w:t>free trade agreements that Australia has under negotiation</w:t>
            </w:r>
          </w:p>
          <w:p w:rsidR="00000000" w:rsidRPr="00427381" w:rsidP="00427381">
            <w:pPr>
              <w:pStyle w:val="ListBullet"/>
            </w:pPr>
            <w:r w:rsidRPr="00427381">
              <w:t>function of a Certificate of Origin or Declaration of Origin</w:t>
            </w:r>
          </w:p>
          <w:p w:rsidR="00000000" w:rsidRPr="00427381" w:rsidP="00427381">
            <w:pPr>
              <w:pStyle w:val="ListBullet"/>
            </w:pPr>
            <w:r w:rsidRPr="00427381">
              <w:t>how to determine:</w:t>
            </w:r>
          </w:p>
          <w:p w:rsidR="00000000" w:rsidRPr="00427381" w:rsidP="00427381">
            <w:pPr>
              <w:pStyle w:val="ListBullet2"/>
            </w:pPr>
            <w:r w:rsidRPr="00427381">
              <w:t>duty rates under preferential tariff s</w:t>
            </w:r>
            <w:r w:rsidRPr="00427381">
              <w:t>chemes and free trade agreements</w:t>
            </w:r>
          </w:p>
          <w:p w:rsidR="00000000" w:rsidRPr="00427381" w:rsidP="00427381">
            <w:pPr>
              <w:pStyle w:val="ListBullet2"/>
            </w:pPr>
            <w:r w:rsidRPr="00427381">
              <w:t>consignment rules under preferential tariff schemes and free trade agreements</w:t>
            </w:r>
          </w:p>
          <w:p w:rsidR="00000000" w:rsidRPr="00427381" w:rsidP="00427381">
            <w:pPr>
              <w:pStyle w:val="ListBullet2"/>
            </w:pPr>
            <w:r w:rsidRPr="00427381">
              <w:t>rules of origin under preferential tariff schemes and free trade agreements</w:t>
            </w:r>
          </w:p>
          <w:p w:rsidR="00000000" w:rsidRPr="00427381" w:rsidP="00427381">
            <w:pPr>
              <w:pStyle w:val="ListBullet"/>
            </w:pPr>
            <w:r w:rsidRPr="00427381">
              <w:t>legislative requirements for determining:</w:t>
            </w:r>
          </w:p>
          <w:p w:rsidR="00000000" w:rsidRPr="00427381" w:rsidP="00427381">
            <w:pPr>
              <w:pStyle w:val="ListBullet2"/>
            </w:pPr>
            <w:r w:rsidRPr="00427381">
              <w:t>eligibility for preferential rates</w:t>
            </w:r>
          </w:p>
          <w:p w:rsidR="00000000" w:rsidRPr="00427381" w:rsidP="00427381">
            <w:pPr>
              <w:pStyle w:val="ListBullet2"/>
            </w:pPr>
            <w:r w:rsidRPr="00427381">
              <w:t>origin of goods</w:t>
            </w:r>
          </w:p>
          <w:p w:rsidR="00000000" w:rsidRPr="00427381" w:rsidP="00427381">
            <w:pPr>
              <w:pStyle w:val="ListBullet"/>
            </w:pPr>
            <w:r w:rsidRPr="00427381">
              <w:t>mandatory content of a Certificate and/or Declaration of Origin</w:t>
            </w:r>
          </w:p>
          <w:p w:rsidR="00000000" w:rsidRPr="00427381" w:rsidP="00427381">
            <w:pPr>
              <w:pStyle w:val="ListBullet"/>
            </w:pPr>
            <w:r w:rsidRPr="00427381">
              <w:t>types of preferential tariff schemes including classes of countries and places where special rates apply</w:t>
            </w:r>
          </w:p>
          <w:p w:rsidR="00000000" w:rsidRPr="00427381" w:rsidP="00427381">
            <w:pPr>
              <w:pStyle w:val="ListBullet"/>
            </w:pPr>
            <w:r w:rsidRPr="00427381">
              <w:t>use of advance ruling</w:t>
            </w:r>
          </w:p>
          <w:p w:rsidR="00000000" w:rsidRPr="00427381" w:rsidP="00427381">
            <w:pPr>
              <w:pStyle w:val="ListBullet2"/>
            </w:pPr>
            <w:r w:rsidRPr="00427381">
              <w:t>benefits and</w:t>
            </w:r>
            <w:r w:rsidRPr="00427381">
              <w:t xml:space="preserve"> use</w:t>
            </w:r>
          </w:p>
          <w:p w:rsidR="00000000" w:rsidRPr="00427381" w:rsidP="00427381">
            <w:pPr>
              <w:pStyle w:val="ListBullet2"/>
            </w:pPr>
            <w:r w:rsidRPr="00427381">
              <w:t>origin of advance rulings</w:t>
            </w:r>
          </w:p>
          <w:p w:rsidR="00000000" w:rsidRPr="00427381" w:rsidP="00427381">
            <w:pPr>
              <w:pStyle w:val="ListBullet2"/>
            </w:pPr>
            <w:r w:rsidRPr="00427381">
              <w:t>review processes.</w:t>
            </w:r>
          </w:p>
        </w:tc>
      </w:tr>
    </w:tbl>
    <w:p w:rsidR="00F545E2" w:rsidP="00427381">
      <w:pPr>
        <w:pStyle w:val="NoPaddingFontSize1"/>
      </w:pPr>
    </w:p>
    <w:p w:rsidR="00F545E2" w:rsidP="00427381">
      <w:pPr>
        <w:pStyle w:val="NoPaddingFontSize1"/>
      </w:pPr>
    </w:p>
    <w:p w:rsidR="00000000" w:rsidRPr="00427381" w:rsidP="00427381">
      <w:pPr>
        <w:pStyle w:val="Heading1"/>
      </w:pPr>
      <w:bookmarkStart w:id="4" w:name="O_1232747"/>
      <w:bookmarkEnd w:id="4"/>
      <w:r w:rsidRPr="004273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81" w:rsidP="00427381">
            <w:pPr>
              <w:pStyle w:val="BodyText"/>
            </w:pPr>
            <w:r w:rsidRPr="00427381">
              <w:t xml:space="preserve">Assessors must hold credentials specified within the Standards for Registered Training Organisations current at the time of assessment. </w:t>
            </w:r>
          </w:p>
          <w:p w:rsidR="00000000" w:rsidRPr="00427381" w:rsidP="00427381">
            <w:pPr>
              <w:pStyle w:val="BodyText"/>
            </w:pPr>
            <w:r w:rsidRPr="0042738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27381" w:rsidP="00427381">
            <w:pPr>
              <w:pStyle w:val="BodyText"/>
            </w:pPr>
            <w:r w:rsidRPr="00427381">
              <w:t>Assessment must occur in workplace operational</w:t>
            </w:r>
            <w:r w:rsidRPr="00427381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427381" w:rsidP="00427381">
            <w:pPr>
              <w:pStyle w:val="BodyText"/>
            </w:pPr>
            <w:r w:rsidRPr="00427381">
              <w:t xml:space="preserve">Assessment processes and techniques must be appropriate to the language, </w:t>
            </w:r>
            <w:r w:rsidRPr="00427381">
              <w:t>literacy and numeracy requirements of the work being performed and the needs of the candidate.</w:t>
            </w:r>
          </w:p>
          <w:p w:rsidR="00000000" w:rsidRPr="00427381" w:rsidP="00427381">
            <w:pPr>
              <w:pStyle w:val="BodyText"/>
            </w:pPr>
            <w:r w:rsidRPr="00427381">
              <w:t>Resources for assessment must include access to:</w:t>
            </w:r>
          </w:p>
          <w:p w:rsidR="00000000" w:rsidRPr="00427381" w:rsidP="00427381">
            <w:pPr>
              <w:pStyle w:val="ListBullet"/>
            </w:pPr>
            <w:r w:rsidRPr="00427381">
              <w:t>a range of relevant exercises, case studies and/or simulations</w:t>
            </w:r>
          </w:p>
          <w:p w:rsidR="00000000" w:rsidRPr="00427381" w:rsidP="00427381">
            <w:pPr>
              <w:pStyle w:val="ListBullet"/>
            </w:pPr>
            <w:r w:rsidRPr="00427381">
              <w:t>applicable documentation including workplace pro</w:t>
            </w:r>
            <w:r w:rsidRPr="00427381">
              <w:t>cedures, regulations, codes of practice and operation manuals.</w:t>
            </w:r>
          </w:p>
        </w:tc>
      </w:tr>
    </w:tbl>
    <w:p w:rsidR="00F545E2" w:rsidP="00427381">
      <w:pPr>
        <w:pStyle w:val="NoPaddingFontSize1"/>
      </w:pPr>
    </w:p>
    <w:p w:rsidR="00F545E2" w:rsidP="00427381">
      <w:pPr>
        <w:pStyle w:val="NoPaddingFontSize1"/>
      </w:pPr>
    </w:p>
    <w:p w:rsidR="00000000" w:rsidRPr="00427381" w:rsidP="00427381">
      <w:pPr>
        <w:pStyle w:val="Heading1"/>
      </w:pPr>
      <w:bookmarkStart w:id="5" w:name="O_1232750"/>
      <w:bookmarkEnd w:id="5"/>
      <w:r w:rsidRPr="00427381">
        <w:t>Links</w:t>
      </w:r>
    </w:p>
    <w:p w:rsidR="00000000" w:rsidRPr="00427381" w:rsidP="00F545E2">
      <w:pPr>
        <w:pStyle w:val="BodyText"/>
      </w:pPr>
      <w:r w:rsidRPr="00427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E44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7381" w:rsidP="00427381"/>
    <w:sectPr w:rsidSect="00427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1" w:rsidRPr="00F545E2" w:rsidP="00F54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E2" w:rsidP="00427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5E2" w:rsidP="00427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45E2" w:rsidP="00427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381" w:rsidRPr="00F545E2" w:rsidP="00F54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E2" w:rsidRPr="002D2AF8" w:rsidP="00427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TLIX0044 Determine origin of goods and apply preference schemes or free trade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45E2" w:rsidP="00427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304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22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823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381"/>
  </w:style>
  <w:style w:type="character" w:customStyle="1" w:styleId="Heading1Char">
    <w:name w:val="Heading 1 Char"/>
    <w:basedOn w:val="DefaultParagraphFont"/>
    <w:link w:val="Heading1"/>
    <w:rsid w:val="00427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3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381"/>
    <w:rPr>
      <w:b/>
      <w:spacing w:val="0"/>
    </w:rPr>
  </w:style>
  <w:style w:type="paragraph" w:styleId="ListBullet2">
    <w:name w:val="List Bullet 2"/>
    <w:basedOn w:val="List2"/>
    <w:rsid w:val="00427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7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381"/>
    <w:rPr>
      <w:i/>
    </w:rPr>
  </w:style>
  <w:style w:type="paragraph" w:styleId="Caption">
    <w:name w:val="caption"/>
    <w:basedOn w:val="BodyText"/>
    <w:next w:val="Normal"/>
    <w:qFormat/>
    <w:rsid w:val="00427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381"/>
  </w:style>
  <w:style w:type="paragraph" w:styleId="TableofFigures">
    <w:name w:val="table of figures"/>
    <w:basedOn w:val="Normal"/>
    <w:next w:val="Normal"/>
    <w:semiHidden/>
    <w:rsid w:val="00427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381"/>
    <w:rPr>
      <w:rFonts w:ascii="Wingdings" w:hAnsi="Wingdings"/>
    </w:rPr>
  </w:style>
  <w:style w:type="paragraph" w:customStyle="1" w:styleId="TableHeading">
    <w:name w:val="Table Heading"/>
    <w:basedOn w:val="HeadingBase"/>
    <w:rsid w:val="00427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381"/>
    <w:rPr>
      <w:color w:val="0033CC"/>
      <w:u w:val="none"/>
    </w:rPr>
  </w:style>
  <w:style w:type="paragraph" w:customStyle="1" w:styleId="BodyTextRight">
    <w:name w:val="Body Text Right"/>
    <w:basedOn w:val="BodyText"/>
    <w:rsid w:val="00427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381"/>
    <w:rPr>
      <w:sz w:val="32"/>
    </w:rPr>
  </w:style>
  <w:style w:type="paragraph" w:customStyle="1" w:styleId="HeadingProcedure">
    <w:name w:val="Heading Procedure"/>
    <w:basedOn w:val="HeadingBase"/>
    <w:next w:val="Normal"/>
    <w:rsid w:val="00427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381"/>
    <w:pPr>
      <w:spacing w:before="60" w:after="60"/>
    </w:pPr>
  </w:style>
  <w:style w:type="paragraph" w:styleId="ListContinue">
    <w:name w:val="List Continue"/>
    <w:basedOn w:val="List"/>
    <w:rsid w:val="00427381"/>
    <w:pPr>
      <w:ind w:firstLine="0"/>
    </w:pPr>
  </w:style>
  <w:style w:type="paragraph" w:customStyle="1" w:styleId="ListNote">
    <w:name w:val="List Note"/>
    <w:basedOn w:val="List"/>
    <w:rsid w:val="00427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381"/>
    <w:rPr>
      <w:rFonts w:ascii="Courier New" w:hAnsi="Courier New"/>
    </w:rPr>
  </w:style>
  <w:style w:type="paragraph" w:customStyle="1" w:styleId="NoteBullet">
    <w:name w:val="Note Bullet"/>
    <w:basedOn w:val="Note"/>
    <w:rsid w:val="00427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381"/>
    <w:rPr>
      <w:b/>
      <w:smallCaps/>
    </w:rPr>
  </w:style>
  <w:style w:type="paragraph" w:customStyle="1" w:styleId="TableListNumber">
    <w:name w:val="Table List Number"/>
    <w:basedOn w:val="ListNumber"/>
    <w:rsid w:val="00427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381"/>
    <w:pPr>
      <w:numPr>
        <w:numId w:val="9"/>
      </w:numPr>
    </w:pPr>
  </w:style>
  <w:style w:type="paragraph" w:customStyle="1" w:styleId="ListAlpha2">
    <w:name w:val="List Alpha 2"/>
    <w:basedOn w:val="List2"/>
    <w:rsid w:val="00427381"/>
    <w:pPr>
      <w:numPr>
        <w:numId w:val="8"/>
      </w:numPr>
    </w:pPr>
  </w:style>
  <w:style w:type="paragraph" w:styleId="List2">
    <w:name w:val="List 2"/>
    <w:basedOn w:val="BodyText"/>
    <w:rsid w:val="00427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381"/>
    <w:pPr>
      <w:numPr>
        <w:numId w:val="4"/>
      </w:numPr>
    </w:pPr>
  </w:style>
  <w:style w:type="paragraph" w:styleId="ListContinue2">
    <w:name w:val="List Continue 2"/>
    <w:basedOn w:val="List2"/>
    <w:rsid w:val="00427381"/>
    <w:pPr>
      <w:ind w:firstLine="0"/>
    </w:pPr>
  </w:style>
  <w:style w:type="paragraph" w:styleId="ListContinue3">
    <w:name w:val="List Continue 3"/>
    <w:basedOn w:val="List3"/>
    <w:rsid w:val="00427381"/>
    <w:pPr>
      <w:ind w:left="1021" w:firstLine="0"/>
    </w:pPr>
  </w:style>
  <w:style w:type="paragraph" w:styleId="ListContinue4">
    <w:name w:val="List Continue 4"/>
    <w:basedOn w:val="List4"/>
    <w:rsid w:val="00427381"/>
    <w:pPr>
      <w:ind w:firstLine="0"/>
    </w:pPr>
  </w:style>
  <w:style w:type="paragraph" w:styleId="ListContinue5">
    <w:name w:val="List Continue 5"/>
    <w:basedOn w:val="List5"/>
    <w:rsid w:val="00427381"/>
    <w:pPr>
      <w:ind w:firstLine="0"/>
    </w:pPr>
  </w:style>
  <w:style w:type="paragraph" w:styleId="ListNumber3">
    <w:name w:val="List Number 3"/>
    <w:basedOn w:val="List3"/>
    <w:rsid w:val="00427381"/>
    <w:pPr>
      <w:numPr>
        <w:numId w:val="5"/>
      </w:numPr>
    </w:pPr>
  </w:style>
  <w:style w:type="paragraph" w:styleId="ListNumber4">
    <w:name w:val="List Number 4"/>
    <w:basedOn w:val="List4"/>
    <w:rsid w:val="00427381"/>
    <w:pPr>
      <w:numPr>
        <w:numId w:val="6"/>
      </w:numPr>
    </w:pPr>
  </w:style>
  <w:style w:type="paragraph" w:styleId="ListNumber5">
    <w:name w:val="List Number 5"/>
    <w:basedOn w:val="List5"/>
    <w:rsid w:val="00427381"/>
    <w:pPr>
      <w:numPr>
        <w:numId w:val="7"/>
      </w:numPr>
    </w:pPr>
  </w:style>
  <w:style w:type="paragraph" w:styleId="BlockText">
    <w:name w:val="Block Text"/>
    <w:basedOn w:val="Normal"/>
    <w:rsid w:val="00427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381"/>
    <w:rPr>
      <w:sz w:val="16"/>
      <w:vertAlign w:val="superscript"/>
    </w:rPr>
  </w:style>
  <w:style w:type="character" w:customStyle="1" w:styleId="Symbols">
    <w:name w:val="Symbols"/>
    <w:basedOn w:val="DefaultParagraphFont"/>
    <w:rsid w:val="00427381"/>
    <w:rPr>
      <w:rFonts w:ascii="Symbol" w:hAnsi="Symbol"/>
    </w:rPr>
  </w:style>
  <w:style w:type="character" w:customStyle="1" w:styleId="MenuOptions">
    <w:name w:val="Menu Options"/>
    <w:basedOn w:val="DefaultParagraphFont"/>
    <w:rsid w:val="00427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381"/>
    <w:rPr>
      <w:b/>
    </w:rPr>
  </w:style>
  <w:style w:type="character" w:customStyle="1" w:styleId="Underlined">
    <w:name w:val="Underlined"/>
    <w:basedOn w:val="DefaultParagraphFont"/>
    <w:rsid w:val="00427381"/>
    <w:rPr>
      <w:u w:val="single"/>
    </w:rPr>
  </w:style>
  <w:style w:type="paragraph" w:customStyle="1" w:styleId="TableBodyTextRight">
    <w:name w:val="Table Body Text Right"/>
    <w:basedOn w:val="TableBodyText"/>
    <w:rsid w:val="00427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381"/>
    <w:rPr>
      <w:sz w:val="18"/>
    </w:rPr>
  </w:style>
  <w:style w:type="paragraph" w:customStyle="1" w:styleId="BodySmallRight">
    <w:name w:val="Body Small Right"/>
    <w:basedOn w:val="BodyTextRight"/>
    <w:rsid w:val="00427381"/>
    <w:rPr>
      <w:sz w:val="18"/>
      <w:szCs w:val="18"/>
    </w:rPr>
  </w:style>
  <w:style w:type="paragraph" w:customStyle="1" w:styleId="MarginEdition">
    <w:name w:val="Margin Edition"/>
    <w:basedOn w:val="MarginNote"/>
    <w:rsid w:val="00427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381"/>
    <w:rPr>
      <w:sz w:val="2"/>
      <w:szCs w:val="2"/>
    </w:rPr>
  </w:style>
  <w:style w:type="character" w:customStyle="1" w:styleId="Small">
    <w:name w:val="Small"/>
    <w:basedOn w:val="DefaultParagraphFont"/>
    <w:rsid w:val="00427381"/>
    <w:rPr>
      <w:sz w:val="16"/>
    </w:rPr>
  </w:style>
  <w:style w:type="paragraph" w:customStyle="1" w:styleId="WideTable">
    <w:name w:val="Wide Table"/>
    <w:basedOn w:val="Normal"/>
    <w:rsid w:val="00427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381"/>
  </w:style>
  <w:style w:type="paragraph" w:styleId="Quote">
    <w:name w:val="Quote"/>
    <w:basedOn w:val="Heading1"/>
    <w:link w:val="QuoteChar"/>
    <w:qFormat/>
    <w:rsid w:val="00427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381"/>
    <w:pPr>
      <w:pageBreakBefore/>
    </w:pPr>
  </w:style>
  <w:style w:type="paragraph" w:customStyle="1" w:styleId="Border">
    <w:name w:val="Border"/>
    <w:basedOn w:val="Normal"/>
    <w:qFormat/>
    <w:rsid w:val="00427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381"/>
    <w:rPr>
      <w:u w:val="single"/>
    </w:rPr>
  </w:style>
  <w:style w:type="character" w:customStyle="1" w:styleId="BoldandItalics">
    <w:name w:val="Bold and Italics"/>
    <w:qFormat/>
    <w:rsid w:val="00427381"/>
    <w:rPr>
      <w:b/>
      <w:i/>
      <w:u w:val="none"/>
    </w:rPr>
  </w:style>
  <w:style w:type="paragraph" w:styleId="BalloonText">
    <w:name w:val="Balloon Text"/>
    <w:basedOn w:val="Normal"/>
    <w:link w:val="BalloonTextChar"/>
    <w:rsid w:val="00427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381"/>
    <w:pPr>
      <w:spacing w:before="0" w:after="0"/>
    </w:pPr>
  </w:style>
  <w:style w:type="paragraph" w:customStyle="1" w:styleId="BodyTextBold">
    <w:name w:val="Body Text Bold"/>
    <w:basedOn w:val="BodyText"/>
    <w:qFormat/>
    <w:rsid w:val="00427381"/>
    <w:rPr>
      <w:b/>
    </w:rPr>
  </w:style>
  <w:style w:type="character" w:styleId="Hyperlink">
    <w:name w:val="Hyperlink"/>
    <w:basedOn w:val="DefaultParagraphFont"/>
    <w:uiPriority w:val="99"/>
    <w:unhideWhenUsed/>
    <w:rsid w:val="00F54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2879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TLIX0044 Determine origin of goods and apply preference schemes or free trade agreements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