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999" w:rsidP="00F56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TLIX0043 Determine indirect taxes</w:t>
      </w:r>
      <w:r>
        <w:fldChar w:fldCharType="end"/>
      </w:r>
    </w:p>
    <w:p w:rsidR="00F56999" w:rsidP="00F56999">
      <w:pPr>
        <w:pStyle w:val="Version"/>
        <w:sectPr w:rsidSect="007A5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0BA" w:rsidP="007A50BA">
      <w:pPr>
        <w:pStyle w:val="SuperHeading"/>
      </w:pPr>
      <w:r w:rsidRPr="007A50BA">
        <w:t>TLIX0043 Determine indirect taxes</w:t>
      </w:r>
    </w:p>
    <w:p w:rsidR="00000000" w:rsidRPr="007A50BA" w:rsidP="007A50BA">
      <w:pPr>
        <w:pStyle w:val="Heading1"/>
      </w:pPr>
      <w:bookmarkStart w:id="1" w:name="O_1232715"/>
      <w:bookmarkEnd w:id="1"/>
      <w:r w:rsidRPr="007A50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rPr>
                <w:rStyle w:val="SpecialBold"/>
              </w:rPr>
              <w:t>Release 1</w:t>
            </w:r>
            <w:r w:rsidRPr="007A50BA">
              <w:t>. This is the first release of this unit of competency in the TLI Transport and Logistics Training Package.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2" w:name="O_1232716"/>
      <w:bookmarkEnd w:id="2"/>
      <w:r w:rsidRPr="007A50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t xml:space="preserve">This unit involves the skills and knowledge required to determine indirect taxes as </w:t>
            </w:r>
            <w:r w:rsidRPr="007A50BA">
              <w:t xml:space="preserve">part of customs broking activities. </w:t>
            </w:r>
          </w:p>
          <w:p w:rsidR="00000000" w:rsidRPr="007A50BA" w:rsidP="007A50BA">
            <w:pPr>
              <w:pStyle w:val="BodyText"/>
            </w:pPr>
            <w:r w:rsidRPr="007A50BA">
              <w:t xml:space="preserve">It includes assessing the applicability of indirect taxes, determining tax exemptions and taxes to be paid. </w:t>
            </w:r>
          </w:p>
          <w:p w:rsidR="00000000" w:rsidRPr="007A50BA" w:rsidP="007A50BA">
            <w:pPr>
              <w:pStyle w:val="BodyText"/>
            </w:pPr>
            <w:r w:rsidRPr="007A50BA">
              <w:t>This unit applies to individuals working as a customs broker. Work must be carried out in compliance with rele</w:t>
            </w:r>
            <w:r w:rsidRPr="007A50BA">
              <w:t>vant legislation.</w:t>
            </w:r>
          </w:p>
          <w:p w:rsidR="00000000" w:rsidRPr="007A50BA" w:rsidP="007A50BA">
            <w:pPr>
              <w:pStyle w:val="BodyText"/>
            </w:pPr>
            <w:r w:rsidRPr="007A50BA">
              <w:t xml:space="preserve">Work is undertaken in a range of environments, including small to large worksites, in the customs broking, international supply chain, integrated express delivery and import/export industries. </w:t>
            </w:r>
          </w:p>
          <w:p w:rsidR="00000000" w:rsidRPr="007A50BA" w:rsidP="007A50BA">
            <w:pPr>
              <w:pStyle w:val="BodyText"/>
            </w:pPr>
            <w:r w:rsidRPr="007A50BA">
              <w:t>No licensing, legislative or certification r</w:t>
            </w:r>
            <w:r w:rsidRPr="007A50BA">
              <w:t>equirements apply to this unit at the time of publication.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3" w:name="O_1232717"/>
      <w:bookmarkEnd w:id="3"/>
      <w:r w:rsidRPr="007A50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t>TLIX0039 Determine customs value.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4" w:name="O_1232718"/>
      <w:bookmarkEnd w:id="4"/>
      <w:r w:rsidRPr="007A50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t>X – Logistics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5" w:name="O_1232719"/>
      <w:bookmarkEnd w:id="5"/>
      <w:r w:rsidRPr="007A50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t>Customs Broking.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6" w:name="O_1232720"/>
      <w:bookmarkEnd w:id="6"/>
      <w:r w:rsidRPr="007A50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9"/>
        <w:gridCol w:w="1873"/>
        <w:gridCol w:w="625"/>
        <w:gridCol w:w="2506"/>
        <w:gridCol w:w="2605"/>
        <w:gridCol w:w="703"/>
      </w:tblGrid>
      <w:tr w:rsidTr="007A5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rPr>
                <w:rStyle w:val="SpecialBold"/>
              </w:rPr>
              <w:t>ELEMENTS</w:t>
            </w:r>
          </w:p>
        </w:tc>
        <w:tc>
          <w:tcPr>
            <w:tcW w:w="3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rPr>
                <w:rStyle w:val="SpecialBold"/>
              </w:rPr>
              <w:t>PERFORMANCE CRITERIA</w:t>
            </w:r>
          </w:p>
        </w:tc>
      </w:tr>
      <w:tr w:rsidTr="007A5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t>Elements describe the essential outcomes.</w:t>
            </w:r>
          </w:p>
        </w:tc>
        <w:tc>
          <w:tcPr>
            <w:tcW w:w="3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t>Performance criteria describe the performance needed to demonstrate achievement of the element.</w:t>
            </w:r>
          </w:p>
        </w:tc>
      </w:tr>
      <w:tr w:rsidTr="007A5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rPr>
                <w:rStyle w:val="SpecialBold"/>
              </w:rPr>
              <w:t>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rPr>
                <w:rStyle w:val="SpecialBold"/>
              </w:rPr>
              <w:t>Assess applicability of indirect taxes to goods, commodities and transactions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rPr>
                <w:rStyle w:val="SpecialBold"/>
              </w:rPr>
              <w:t>1.1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t>Basic application of goods and services tax (GST), taxable supplies, GST-free supplies, input tax credits, creditable acquisitions and importations, taxable importations, del</w:t>
            </w:r>
            <w:r w:rsidRPr="007A50BA">
              <w:t>ivered duty paid (DDP) transactions, GST deferral, wine equalisation tax (WET) and luxury car tax (LCT) are identified</w:t>
            </w:r>
          </w:p>
        </w:tc>
      </w:tr>
      <w:tr w:rsidTr="007A5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>
            <w:pPr>
              <w:pStyle w:val="BodyText"/>
              <w:keepLines w:val="0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rPr>
                <w:rStyle w:val="SpecialBold"/>
              </w:rPr>
              <w:t>1.2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t>Applicability of indirect taxes to goods and commodities is identified</w:t>
            </w:r>
          </w:p>
        </w:tc>
      </w:tr>
      <w:tr w:rsidTr="007A5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>
            <w:pPr>
              <w:pStyle w:val="BodyText"/>
              <w:keepLines w:val="0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rPr>
                <w:rStyle w:val="SpecialBold"/>
              </w:rPr>
              <w:t>1.3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t>Exemptions and special provisions relating to indirect taxes are identified</w:t>
            </w:r>
          </w:p>
        </w:tc>
      </w:tr>
      <w:tr w:rsidTr="007A5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rPr>
                <w:rStyle w:val="SpecialBold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rPr>
                <w:rStyle w:val="SpecialBold"/>
              </w:rPr>
              <w:t>Calculate indirect taxes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rPr>
                <w:rStyle w:val="SpecialBold"/>
              </w:rPr>
              <w:t>2.1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t>Relevant information such as overseas freight and insurances is obtained as required</w:t>
            </w:r>
          </w:p>
        </w:tc>
      </w:tr>
      <w:tr w:rsidTr="007A5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>
            <w:pPr>
              <w:pStyle w:val="BodyText"/>
              <w:keepLines w:val="0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rPr>
                <w:rStyle w:val="SpecialBold"/>
              </w:rPr>
              <w:t>2.2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t xml:space="preserve">Correct rate of indirect tax on goods and services is </w:t>
            </w:r>
            <w:r w:rsidRPr="007A50BA">
              <w:t>identified and applied in accordance with legislative requirements</w:t>
            </w:r>
          </w:p>
        </w:tc>
      </w:tr>
      <w:tr w:rsidTr="007A5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>
            <w:pPr>
              <w:pStyle w:val="BodyText"/>
              <w:keepLines w:val="0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BA">
            <w:pPr>
              <w:pStyle w:val="BodyText"/>
              <w:rPr>
                <w:lang w:val="en-NZ"/>
              </w:rPr>
            </w:pPr>
            <w:r w:rsidRPr="007A50BA">
              <w:rPr>
                <w:rStyle w:val="SpecialBold"/>
              </w:rPr>
              <w:t>2.3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t>Applicable indirect tax is calculated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7" w:name="O_1232721"/>
      <w:bookmarkEnd w:id="7"/>
      <w:r w:rsidRPr="007A50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t>Foundation skills essential to performance are explicit in the performance criteria of this unit of competency.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8" w:name="O_1232722"/>
      <w:bookmarkEnd w:id="8"/>
      <w:r w:rsidRPr="007A50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t>Range is restricted to essential operating conditions and any other variables essential to the work environment.</w:t>
            </w:r>
          </w:p>
          <w:p w:rsidR="00000000" w:rsidRPr="007A50BA" w:rsidP="007A50BA">
            <w:pPr>
              <w:pStyle w:val="BodyText"/>
            </w:pPr>
            <w:r w:rsidRPr="007A50BA">
              <w:t>Non-essential conditions can be found in the TLI Transport and Logistics Training Package Companion Volume Implementation Guide.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9" w:name="O_1232723"/>
      <w:bookmarkEnd w:id="9"/>
      <w:r w:rsidRPr="007A50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BA" w:rsidP="007A50BA">
            <w:pPr>
              <w:pStyle w:val="BodyText"/>
            </w:pPr>
            <w:r w:rsidRPr="007A50BA">
              <w:t>This unit replaces but is not equivalent to TLIX5049 Determine indirect taxes.</w:t>
            </w:r>
          </w:p>
        </w:tc>
      </w:tr>
    </w:tbl>
    <w:p w:rsidR="00F56999" w:rsidP="007A50BA">
      <w:pPr>
        <w:pStyle w:val="NoPaddingFontSize1"/>
      </w:pPr>
    </w:p>
    <w:p w:rsidR="00F56999" w:rsidP="007A50BA">
      <w:pPr>
        <w:pStyle w:val="NoPaddingFontSize1"/>
      </w:pPr>
    </w:p>
    <w:p w:rsidR="00000000" w:rsidRPr="007A50BA" w:rsidP="007A50BA">
      <w:pPr>
        <w:pStyle w:val="Heading1"/>
      </w:pPr>
      <w:bookmarkStart w:id="10" w:name="O_1232730"/>
      <w:bookmarkEnd w:id="10"/>
      <w:r w:rsidRPr="007A50BA">
        <w:t>Links</w:t>
      </w:r>
    </w:p>
    <w:p w:rsidR="00000000" w:rsidRPr="007A50BA" w:rsidP="00F56999">
      <w:pPr>
        <w:pStyle w:val="BodyText"/>
      </w:pPr>
      <w:r w:rsidRPr="007A5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53C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A50BA" w:rsidP="007A50BA"/>
    <w:sectPr w:rsidSect="007A5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BA" w:rsidRPr="00F56999" w:rsidP="00F56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999" w:rsidP="007A5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999" w:rsidP="007A5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6999" w:rsidP="007A5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0BA" w:rsidRPr="00F56999" w:rsidP="00F56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999" w:rsidRPr="002D2AF8" w:rsidP="007A5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TLIX0043 Determine indirect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6999" w:rsidP="007A5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0BA"/>
  </w:style>
  <w:style w:type="character" w:customStyle="1" w:styleId="Heading1Char">
    <w:name w:val="Heading 1 Char"/>
    <w:basedOn w:val="DefaultParagraphFont"/>
    <w:link w:val="Heading1"/>
    <w:rsid w:val="007A5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0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50BA"/>
    <w:rPr>
      <w:b/>
      <w:spacing w:val="0"/>
    </w:rPr>
  </w:style>
  <w:style w:type="paragraph" w:customStyle="1" w:styleId="SuperHeading">
    <w:name w:val="SuperHeading"/>
    <w:basedOn w:val="Normal"/>
    <w:rsid w:val="007A5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5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0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5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0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0BA"/>
    <w:rPr>
      <w:i/>
    </w:rPr>
  </w:style>
  <w:style w:type="paragraph" w:styleId="Caption">
    <w:name w:val="caption"/>
    <w:basedOn w:val="BodyText"/>
    <w:next w:val="Normal"/>
    <w:qFormat/>
    <w:rsid w:val="007A5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0BA"/>
  </w:style>
  <w:style w:type="paragraph" w:styleId="TableofFigures">
    <w:name w:val="table of figures"/>
    <w:basedOn w:val="Normal"/>
    <w:next w:val="Normal"/>
    <w:semiHidden/>
    <w:rsid w:val="007A5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0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50BA"/>
    <w:rPr>
      <w:rFonts w:ascii="Wingdings" w:hAnsi="Wingdings"/>
    </w:rPr>
  </w:style>
  <w:style w:type="paragraph" w:customStyle="1" w:styleId="TableHeading">
    <w:name w:val="Table Heading"/>
    <w:basedOn w:val="HeadingBase"/>
    <w:rsid w:val="007A5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0BA"/>
    <w:rPr>
      <w:color w:val="0033CC"/>
      <w:u w:val="none"/>
    </w:rPr>
  </w:style>
  <w:style w:type="paragraph" w:customStyle="1" w:styleId="BodyTextRight">
    <w:name w:val="Body Text Right"/>
    <w:basedOn w:val="BodyText"/>
    <w:rsid w:val="007A5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0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0BA"/>
    <w:rPr>
      <w:sz w:val="32"/>
    </w:rPr>
  </w:style>
  <w:style w:type="paragraph" w:customStyle="1" w:styleId="HeadingProcedure">
    <w:name w:val="Heading Procedure"/>
    <w:basedOn w:val="HeadingBase"/>
    <w:next w:val="Normal"/>
    <w:rsid w:val="007A5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0BA"/>
    <w:pPr>
      <w:spacing w:before="60" w:after="60"/>
    </w:pPr>
  </w:style>
  <w:style w:type="paragraph" w:styleId="ListContinue">
    <w:name w:val="List Continue"/>
    <w:basedOn w:val="List"/>
    <w:rsid w:val="007A50BA"/>
    <w:pPr>
      <w:ind w:firstLine="0"/>
    </w:pPr>
  </w:style>
  <w:style w:type="paragraph" w:customStyle="1" w:styleId="ListNote">
    <w:name w:val="List Note"/>
    <w:basedOn w:val="List"/>
    <w:rsid w:val="007A5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0BA"/>
    <w:rPr>
      <w:rFonts w:ascii="Courier New" w:hAnsi="Courier New"/>
    </w:rPr>
  </w:style>
  <w:style w:type="paragraph" w:customStyle="1" w:styleId="NoteBullet">
    <w:name w:val="Note Bullet"/>
    <w:basedOn w:val="Note"/>
    <w:rsid w:val="007A5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0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5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0BA"/>
    <w:rPr>
      <w:b/>
      <w:smallCaps/>
    </w:rPr>
  </w:style>
  <w:style w:type="paragraph" w:customStyle="1" w:styleId="TableListNumber">
    <w:name w:val="Table List Number"/>
    <w:basedOn w:val="ListNumber"/>
    <w:rsid w:val="007A5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0BA"/>
    <w:pPr>
      <w:numPr>
        <w:numId w:val="7"/>
      </w:numPr>
    </w:pPr>
  </w:style>
  <w:style w:type="paragraph" w:customStyle="1" w:styleId="ListAlpha2">
    <w:name w:val="List Alpha 2"/>
    <w:basedOn w:val="List2"/>
    <w:rsid w:val="007A50BA"/>
    <w:pPr>
      <w:numPr>
        <w:numId w:val="6"/>
      </w:numPr>
    </w:pPr>
  </w:style>
  <w:style w:type="paragraph" w:styleId="List2">
    <w:name w:val="List 2"/>
    <w:basedOn w:val="BodyText"/>
    <w:rsid w:val="007A5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0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0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50BA"/>
    <w:pPr>
      <w:numPr>
        <w:numId w:val="2"/>
      </w:numPr>
    </w:pPr>
  </w:style>
  <w:style w:type="paragraph" w:styleId="ListContinue2">
    <w:name w:val="List Continue 2"/>
    <w:basedOn w:val="List2"/>
    <w:rsid w:val="007A50BA"/>
    <w:pPr>
      <w:ind w:firstLine="0"/>
    </w:pPr>
  </w:style>
  <w:style w:type="paragraph" w:styleId="ListContinue3">
    <w:name w:val="List Continue 3"/>
    <w:basedOn w:val="List3"/>
    <w:rsid w:val="007A50BA"/>
    <w:pPr>
      <w:ind w:left="1021" w:firstLine="0"/>
    </w:pPr>
  </w:style>
  <w:style w:type="paragraph" w:styleId="ListContinue4">
    <w:name w:val="List Continue 4"/>
    <w:basedOn w:val="List4"/>
    <w:rsid w:val="007A50BA"/>
    <w:pPr>
      <w:ind w:firstLine="0"/>
    </w:pPr>
  </w:style>
  <w:style w:type="paragraph" w:styleId="ListContinue5">
    <w:name w:val="List Continue 5"/>
    <w:basedOn w:val="List5"/>
    <w:rsid w:val="007A50BA"/>
    <w:pPr>
      <w:ind w:firstLine="0"/>
    </w:pPr>
  </w:style>
  <w:style w:type="paragraph" w:styleId="ListNumber3">
    <w:name w:val="List Number 3"/>
    <w:basedOn w:val="List3"/>
    <w:rsid w:val="007A50BA"/>
    <w:pPr>
      <w:numPr>
        <w:numId w:val="3"/>
      </w:numPr>
    </w:pPr>
  </w:style>
  <w:style w:type="paragraph" w:styleId="ListNumber4">
    <w:name w:val="List Number 4"/>
    <w:basedOn w:val="List4"/>
    <w:rsid w:val="007A50BA"/>
    <w:pPr>
      <w:numPr>
        <w:numId w:val="4"/>
      </w:numPr>
    </w:pPr>
  </w:style>
  <w:style w:type="paragraph" w:styleId="ListNumber5">
    <w:name w:val="List Number 5"/>
    <w:basedOn w:val="List5"/>
    <w:rsid w:val="007A50BA"/>
    <w:pPr>
      <w:numPr>
        <w:numId w:val="5"/>
      </w:numPr>
    </w:pPr>
  </w:style>
  <w:style w:type="paragraph" w:styleId="BlockText">
    <w:name w:val="Block Text"/>
    <w:basedOn w:val="Normal"/>
    <w:rsid w:val="007A5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0BA"/>
    <w:rPr>
      <w:sz w:val="16"/>
      <w:vertAlign w:val="superscript"/>
    </w:rPr>
  </w:style>
  <w:style w:type="character" w:customStyle="1" w:styleId="Symbols">
    <w:name w:val="Symbols"/>
    <w:basedOn w:val="DefaultParagraphFont"/>
    <w:rsid w:val="007A50BA"/>
    <w:rPr>
      <w:rFonts w:ascii="Symbol" w:hAnsi="Symbol"/>
    </w:rPr>
  </w:style>
  <w:style w:type="character" w:customStyle="1" w:styleId="MenuOptions">
    <w:name w:val="Menu Options"/>
    <w:basedOn w:val="DefaultParagraphFont"/>
    <w:rsid w:val="007A5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0BA"/>
    <w:rPr>
      <w:b/>
    </w:rPr>
  </w:style>
  <w:style w:type="character" w:customStyle="1" w:styleId="Underlined">
    <w:name w:val="Underlined"/>
    <w:basedOn w:val="DefaultParagraphFont"/>
    <w:rsid w:val="007A50BA"/>
    <w:rPr>
      <w:u w:val="single"/>
    </w:rPr>
  </w:style>
  <w:style w:type="paragraph" w:customStyle="1" w:styleId="TableBodyTextRight">
    <w:name w:val="Table Body Text Right"/>
    <w:basedOn w:val="TableBodyText"/>
    <w:rsid w:val="007A5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0BA"/>
    <w:rPr>
      <w:sz w:val="18"/>
    </w:rPr>
  </w:style>
  <w:style w:type="paragraph" w:customStyle="1" w:styleId="BodySmallRight">
    <w:name w:val="Body Small Right"/>
    <w:basedOn w:val="BodyTextRight"/>
    <w:rsid w:val="007A50BA"/>
    <w:rPr>
      <w:sz w:val="18"/>
      <w:szCs w:val="18"/>
    </w:rPr>
  </w:style>
  <w:style w:type="paragraph" w:customStyle="1" w:styleId="MarginEdition">
    <w:name w:val="Margin Edition"/>
    <w:basedOn w:val="MarginNote"/>
    <w:rsid w:val="007A5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0BA"/>
    <w:rPr>
      <w:sz w:val="2"/>
      <w:szCs w:val="2"/>
    </w:rPr>
  </w:style>
  <w:style w:type="character" w:customStyle="1" w:styleId="Small">
    <w:name w:val="Small"/>
    <w:basedOn w:val="DefaultParagraphFont"/>
    <w:rsid w:val="007A50BA"/>
    <w:rPr>
      <w:sz w:val="16"/>
    </w:rPr>
  </w:style>
  <w:style w:type="paragraph" w:customStyle="1" w:styleId="WideTable">
    <w:name w:val="Wide Table"/>
    <w:basedOn w:val="Normal"/>
    <w:rsid w:val="007A5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0BA"/>
  </w:style>
  <w:style w:type="paragraph" w:styleId="Quote">
    <w:name w:val="Quote"/>
    <w:basedOn w:val="Heading1"/>
    <w:link w:val="QuoteChar"/>
    <w:qFormat/>
    <w:rsid w:val="007A5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0BA"/>
    <w:pPr>
      <w:pageBreakBefore/>
    </w:pPr>
  </w:style>
  <w:style w:type="paragraph" w:customStyle="1" w:styleId="Border">
    <w:name w:val="Border"/>
    <w:basedOn w:val="Normal"/>
    <w:qFormat/>
    <w:rsid w:val="007A5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0BA"/>
    <w:rPr>
      <w:u w:val="single"/>
    </w:rPr>
  </w:style>
  <w:style w:type="character" w:customStyle="1" w:styleId="BoldandItalics">
    <w:name w:val="Bold and Italics"/>
    <w:qFormat/>
    <w:rsid w:val="007A50BA"/>
    <w:rPr>
      <w:b/>
      <w:i/>
      <w:u w:val="none"/>
    </w:rPr>
  </w:style>
  <w:style w:type="paragraph" w:styleId="BalloonText">
    <w:name w:val="Balloon Text"/>
    <w:basedOn w:val="Normal"/>
    <w:link w:val="BalloonTextChar"/>
    <w:rsid w:val="007A5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0BA"/>
    <w:pPr>
      <w:spacing w:before="0" w:after="0"/>
    </w:pPr>
  </w:style>
  <w:style w:type="paragraph" w:customStyle="1" w:styleId="BodyTextBold">
    <w:name w:val="Body Text Bold"/>
    <w:basedOn w:val="BodyText"/>
    <w:qFormat/>
    <w:rsid w:val="007A50BA"/>
    <w:rPr>
      <w:b/>
    </w:rPr>
  </w:style>
  <w:style w:type="character" w:styleId="Hyperlink">
    <w:name w:val="Hyperlink"/>
    <w:basedOn w:val="DefaultParagraphFont"/>
    <w:uiPriority w:val="99"/>
    <w:unhideWhenUsed/>
    <w:rsid w:val="00F56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2485</Characters>
  <Application>Microsoft Office Word</Application>
  <DocSecurity>0</DocSecurity>
  <Lines>112</Lines>
  <Paragraphs>58</Paragraphs>
  <ScaleCrop>false</ScaleCrop>
  <Company>Author-it Software Corporation Ltd.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TLIX0043 Determine indirect taxes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