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BB9" w:rsidP="00386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TLIX0043 Determine indirect taxes</w:t>
      </w:r>
      <w:r>
        <w:fldChar w:fldCharType="end"/>
      </w:r>
    </w:p>
    <w:p w:rsidR="00386BB9" w:rsidP="00386BB9">
      <w:pPr>
        <w:pStyle w:val="Version"/>
        <w:sectPr w:rsidSect="00AB15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54B" w:rsidP="00AB154B">
      <w:pPr>
        <w:pStyle w:val="SuperHeading"/>
      </w:pPr>
      <w:r w:rsidRPr="00AB154B">
        <w:t>TLIX0043 Determine indirect taxes</w:t>
      </w:r>
    </w:p>
    <w:p w:rsidR="00000000" w:rsidRPr="00AB154B" w:rsidP="00AB154B">
      <w:pPr>
        <w:pStyle w:val="Heading1"/>
      </w:pPr>
      <w:bookmarkStart w:id="1" w:name="O_1232715"/>
      <w:bookmarkEnd w:id="1"/>
      <w:r w:rsidRPr="00AB15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Release 1</w:t>
            </w:r>
            <w:r w:rsidRPr="00AB154B">
              <w:t>. This is the first release of this unit of competency in the TLI Transport and Logistics Training Package.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2" w:name="O_1232716"/>
      <w:bookmarkEnd w:id="2"/>
      <w:r w:rsidRPr="00AB15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 xml:space="preserve">This unit involves the skills and knowledge required to determine indirect taxes as </w:t>
            </w:r>
            <w:r w:rsidRPr="00AB154B">
              <w:t xml:space="preserve">part of customs broking activities. </w:t>
            </w:r>
          </w:p>
          <w:p w:rsidR="00000000" w:rsidRPr="00AB154B" w:rsidP="00AB154B">
            <w:pPr>
              <w:pStyle w:val="BodyText"/>
            </w:pPr>
            <w:r w:rsidRPr="00AB154B">
              <w:t xml:space="preserve">It includes assessing the applicability of indirect taxes, determining tax exemptions and taxes to be paid. </w:t>
            </w:r>
          </w:p>
          <w:p w:rsidR="00000000" w:rsidRPr="00AB154B" w:rsidP="00AB154B">
            <w:pPr>
              <w:pStyle w:val="BodyText"/>
            </w:pPr>
            <w:r w:rsidRPr="00AB154B">
              <w:t>This unit applies to individuals working as a customs broker. Work must be carried out in compliance with rele</w:t>
            </w:r>
            <w:r w:rsidRPr="00AB154B">
              <w:t>vant legislation.</w:t>
            </w:r>
          </w:p>
          <w:p w:rsidR="00000000" w:rsidRPr="00AB154B" w:rsidP="00AB154B">
            <w:pPr>
              <w:pStyle w:val="BodyText"/>
            </w:pPr>
            <w:r w:rsidRPr="00AB154B">
              <w:t xml:space="preserve">Work is undertaken in a range of environments, including small to large worksites, in the customs broking, international supply chain, integrated express delivery and import/export industries. </w:t>
            </w:r>
          </w:p>
          <w:p w:rsidR="00000000" w:rsidRPr="00AB154B" w:rsidP="00AB154B">
            <w:pPr>
              <w:pStyle w:val="BodyText"/>
            </w:pPr>
            <w:r w:rsidRPr="00AB154B">
              <w:t>No licensing, legislative or certification r</w:t>
            </w:r>
            <w:r w:rsidRPr="00AB154B">
              <w:t>equirements apply to this unit at the time of publication.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3" w:name="O_1232717"/>
      <w:bookmarkEnd w:id="3"/>
      <w:r w:rsidRPr="00AB15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TLIX0039 Determine customs value.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4" w:name="O_1232718"/>
      <w:bookmarkEnd w:id="4"/>
      <w:r w:rsidRPr="00AB15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X – Logistics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5" w:name="O_1232719"/>
      <w:bookmarkEnd w:id="5"/>
      <w:r w:rsidRPr="00AB15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Customs Broking.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6" w:name="O_1232720"/>
      <w:bookmarkEnd w:id="6"/>
      <w:r w:rsidRPr="00AB15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1873"/>
        <w:gridCol w:w="625"/>
        <w:gridCol w:w="2506"/>
        <w:gridCol w:w="2605"/>
        <w:gridCol w:w="703"/>
      </w:tblGrid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ELEMENTS</w:t>
            </w:r>
          </w:p>
        </w:tc>
        <w:tc>
          <w:tcPr>
            <w:tcW w:w="3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PERFORMANCE CRITERIA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5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Elements describe the essential outcomes.</w:t>
            </w:r>
          </w:p>
        </w:tc>
        <w:tc>
          <w:tcPr>
            <w:tcW w:w="3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Performance criteria describe the performance needed to demonstrate achievement of the element.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Assess applicability of indirect taxes to goods, commodities and transactions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1.1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Basic application of goods and services tax (GST), taxable supplies, GST-free supplies, input tax credits, creditable acquisitions and importations, taxable importations, del</w:t>
            </w:r>
            <w:r w:rsidRPr="00AB154B">
              <w:t>ivered duty paid (DDP) transactions, GST deferral, wine equalisation tax (WET) and luxury car tax (LCT) are identified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>
            <w:pPr>
              <w:pStyle w:val="BodyText"/>
              <w:keepLines w:val="0"/>
              <w:spacing w:before="0" w:after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1.2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Applicability of indirect taxes to goods and commodities is identified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>
            <w:pPr>
              <w:pStyle w:val="BodyText"/>
              <w:keepLines w:val="0"/>
              <w:spacing w:before="0" w:after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1.3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Exemptions and special provisions rel</w:t>
            </w:r>
            <w:r w:rsidRPr="00AB154B">
              <w:t>ating to indirect taxes are identified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Calculate indirect taxes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2.1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Relevant information such as overseas freight and insurances is obtained as required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>
            <w:pPr>
              <w:pStyle w:val="BodyText"/>
              <w:keepLines w:val="0"/>
              <w:spacing w:before="0" w:after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2.2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 xml:space="preserve">Correct rate of indirect tax on goods and services is identified and applied in accordance </w:t>
            </w:r>
            <w:r w:rsidRPr="00AB154B">
              <w:t>with legislative requirements</w:t>
            </w:r>
          </w:p>
        </w:tc>
      </w:tr>
      <w:tr w:rsidTr="00AB1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>
            <w:pPr>
              <w:pStyle w:val="BodyText"/>
              <w:keepLines w:val="0"/>
              <w:spacing w:before="0" w:after="0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rPr>
                <w:rStyle w:val="SpecialBold"/>
              </w:rPr>
              <w:t>2.3</w:t>
            </w: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Applicable indirect tax is calculated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7" w:name="O_1232721"/>
      <w:bookmarkEnd w:id="7"/>
      <w:r w:rsidRPr="00AB15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Foundation skills essential to performance are explicit in the performance criteria of this unit of competency.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8" w:name="O_1232722"/>
      <w:bookmarkEnd w:id="8"/>
      <w:r w:rsidRPr="00AB15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Range is restricted to essential operating conditions and any other variables essential to the work environment.</w:t>
            </w:r>
          </w:p>
          <w:p w:rsidR="00000000" w:rsidRPr="00AB154B" w:rsidP="00AB154B">
            <w:pPr>
              <w:pStyle w:val="BodyText"/>
            </w:pPr>
            <w:r w:rsidRPr="00AB154B">
              <w:t>Non-essential conditions can be found in the TLI Transport and Logistics Training Package Companion Volume Implementation G</w:t>
            </w:r>
            <w:r w:rsidRPr="00AB154B">
              <w:t>uide.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9" w:name="O_1232723"/>
      <w:bookmarkEnd w:id="9"/>
      <w:r w:rsidRPr="00AB15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>This unit replaces but is not equivalent to TLIX5049 Determine indirect taxes.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10" w:name="O_1232730"/>
      <w:bookmarkEnd w:id="10"/>
      <w:r w:rsidRPr="00AB154B">
        <w:t>Links</w:t>
      </w:r>
    </w:p>
    <w:p w:rsidR="00000000" w:rsidRPr="00AB154B" w:rsidP="00386BB9">
      <w:pPr>
        <w:pStyle w:val="BodyText"/>
      </w:pPr>
      <w:r w:rsidRPr="00AB15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2E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B154B" w:rsidP="00386BB9">
      <w:pPr>
        <w:pStyle w:val="BodyText"/>
        <w:sectPr w:rsidSect="00AB15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54B" w:rsidP="00AB154B">
      <w:pPr>
        <w:pStyle w:val="SuperHeading"/>
      </w:pPr>
      <w:r w:rsidRPr="00AB154B">
        <w:t>Assessment Requirements for TLIX0043 Determine indirect taxes</w:t>
      </w:r>
    </w:p>
    <w:p w:rsidR="00000000" w:rsidRPr="00AB154B" w:rsidP="00AB154B">
      <w:pPr>
        <w:pStyle w:val="Heading1"/>
      </w:pPr>
      <w:bookmarkStart w:id="11" w:name="O_1232725"/>
      <w:bookmarkEnd w:id="11"/>
      <w:r w:rsidRPr="00AB15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rPr>
                <w:rStyle w:val="SpecialBold"/>
              </w:rPr>
              <w:t>Release 1</w:t>
            </w:r>
            <w:r w:rsidRPr="00AB154B">
              <w:t>. This is the first release of this unit of competency in the TLI Transport and Logistics Training Package.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12" w:name="O_1232726"/>
      <w:bookmarkEnd w:id="12"/>
      <w:r w:rsidRPr="00AB15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Evidence required to demonstrate competence in this unit must be relevant to and satisfy all of the requi</w:t>
            </w:r>
            <w:r w:rsidRPr="00AB154B">
              <w:t>rements of the elements and performance criteria on at least one occasion and include:</w:t>
            </w:r>
          </w:p>
        </w:tc>
      </w:tr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ListBullet"/>
            </w:pPr>
            <w:r w:rsidRPr="00AB154B">
              <w:t>calculating indirect taxes</w:t>
            </w:r>
          </w:p>
          <w:p w:rsidR="00000000" w:rsidRPr="00AB154B" w:rsidP="00AB154B">
            <w:pPr>
              <w:pStyle w:val="ListBullet"/>
            </w:pPr>
            <w:r w:rsidRPr="00AB154B">
              <w:t>determining applicability of goods and services tax (GST) and determining other indirect taxes</w:t>
            </w:r>
          </w:p>
          <w:p w:rsidR="00000000" w:rsidRPr="00AB154B" w:rsidP="00AB154B">
            <w:pPr>
              <w:pStyle w:val="ListBullet"/>
            </w:pPr>
            <w:r w:rsidRPr="00AB154B">
              <w:t>identifying:</w:t>
            </w:r>
          </w:p>
          <w:p w:rsidR="00000000" w:rsidRPr="00AB154B" w:rsidP="00AB154B">
            <w:pPr>
              <w:pStyle w:val="ListBullet2"/>
            </w:pPr>
            <w:r w:rsidRPr="00AB154B">
              <w:t xml:space="preserve">GST-free/exempt and non-taxable importations </w:t>
            </w:r>
          </w:p>
          <w:p w:rsidR="00000000" w:rsidRPr="00AB154B" w:rsidP="00AB154B">
            <w:pPr>
              <w:pStyle w:val="ListBullet2"/>
            </w:pPr>
            <w:r w:rsidRPr="00AB154B">
              <w:t>fuel efficient vehicles</w:t>
            </w:r>
          </w:p>
          <w:p w:rsidR="00000000" w:rsidRPr="00AB154B" w:rsidP="00AB154B">
            <w:pPr>
              <w:pStyle w:val="ListBullet2"/>
            </w:pPr>
            <w:r w:rsidRPr="00AB154B">
              <w:t xml:space="preserve">luxury car tax (LCT) </w:t>
            </w:r>
          </w:p>
          <w:p w:rsidR="00000000" w:rsidRPr="00AB154B" w:rsidP="00AB154B">
            <w:pPr>
              <w:pStyle w:val="ListBullet2"/>
            </w:pPr>
            <w:r w:rsidRPr="00AB154B">
              <w:t>provisions for GST deferral</w:t>
            </w:r>
          </w:p>
          <w:p w:rsidR="00000000" w:rsidRPr="00AB154B" w:rsidP="00AB154B">
            <w:pPr>
              <w:pStyle w:val="ListBullet2"/>
            </w:pPr>
            <w:r w:rsidRPr="00AB154B">
              <w:t>wine equalisation tax (WET) rules.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13" w:name="O_1232727"/>
      <w:bookmarkEnd w:id="13"/>
      <w:r w:rsidRPr="00AB15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4B">
            <w:pPr>
              <w:pStyle w:val="BodyText"/>
              <w:rPr>
                <w:lang w:val="en-NZ"/>
              </w:rPr>
            </w:pPr>
            <w:r w:rsidRPr="00AB15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ListBullet"/>
            </w:pPr>
            <w:r w:rsidRPr="00AB154B">
              <w:t>applicable legislation and regulations</w:t>
            </w:r>
          </w:p>
          <w:p w:rsidR="00000000" w:rsidRPr="00AB154B" w:rsidP="00AB154B">
            <w:pPr>
              <w:pStyle w:val="ListBullet"/>
            </w:pPr>
            <w:r w:rsidRPr="00AB154B">
              <w:t>operation of the GST system</w:t>
            </w:r>
          </w:p>
          <w:p w:rsidR="00000000" w:rsidRPr="00AB154B" w:rsidP="00AB154B">
            <w:pPr>
              <w:pStyle w:val="ListBullet"/>
            </w:pPr>
            <w:r w:rsidRPr="00AB154B">
              <w:t>calcula</w:t>
            </w:r>
            <w:r w:rsidRPr="00AB154B">
              <w:t>tions of GST on taxable importations</w:t>
            </w:r>
          </w:p>
          <w:p w:rsidR="00000000" w:rsidRPr="00AB154B" w:rsidP="00AB154B">
            <w:pPr>
              <w:pStyle w:val="ListBullet"/>
            </w:pPr>
            <w:r w:rsidRPr="00AB154B">
              <w:t>delivered duty paid (DDP) transactions and impact on GST</w:t>
            </w:r>
          </w:p>
          <w:p w:rsidR="00000000" w:rsidRPr="00AB154B" w:rsidP="00AB154B">
            <w:pPr>
              <w:pStyle w:val="ListBullet"/>
            </w:pPr>
            <w:r w:rsidRPr="00AB154B">
              <w:t>GST:</w:t>
            </w:r>
          </w:p>
          <w:p w:rsidR="00000000" w:rsidRPr="00AB154B" w:rsidP="00AB154B">
            <w:pPr>
              <w:pStyle w:val="ListBullet2"/>
            </w:pPr>
            <w:r w:rsidRPr="00AB154B">
              <w:t>collection and remittance</w:t>
            </w:r>
          </w:p>
          <w:p w:rsidR="00000000" w:rsidRPr="00AB154B" w:rsidP="00AB154B">
            <w:pPr>
              <w:pStyle w:val="ListBullet2"/>
            </w:pPr>
            <w:r w:rsidRPr="00AB154B">
              <w:t>deferral scheme</w:t>
            </w:r>
          </w:p>
          <w:p w:rsidR="00000000" w:rsidRPr="00AB154B" w:rsidP="00AB154B">
            <w:pPr>
              <w:pStyle w:val="ListBullet2"/>
            </w:pPr>
            <w:r w:rsidRPr="00AB154B">
              <w:t>input-taxed supplies</w:t>
            </w:r>
          </w:p>
          <w:p w:rsidR="00000000" w:rsidRPr="00AB154B" w:rsidP="00AB154B">
            <w:pPr>
              <w:pStyle w:val="ListBullet2"/>
            </w:pPr>
            <w:r w:rsidRPr="00AB154B">
              <w:t xml:space="preserve">on goods for export </w:t>
            </w:r>
          </w:p>
          <w:p w:rsidR="00000000" w:rsidRPr="00AB154B" w:rsidP="00AB154B">
            <w:pPr>
              <w:pStyle w:val="ListBullet2"/>
            </w:pPr>
            <w:r w:rsidRPr="00AB154B">
              <w:t>registration process</w:t>
            </w:r>
          </w:p>
          <w:p w:rsidR="00000000" w:rsidRPr="00AB154B" w:rsidP="00AB154B">
            <w:pPr>
              <w:pStyle w:val="ListBullet2"/>
            </w:pPr>
            <w:r w:rsidRPr="00AB154B">
              <w:t>transportation costs</w:t>
            </w:r>
          </w:p>
          <w:p w:rsidR="00000000" w:rsidRPr="00AB154B" w:rsidP="00AB154B">
            <w:pPr>
              <w:pStyle w:val="ListBullet"/>
            </w:pPr>
            <w:r w:rsidRPr="00AB154B">
              <w:t>GST-free/exempt goods and supplies (non-taxable importation).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14" w:name="O_1232728"/>
      <w:bookmarkEnd w:id="14"/>
      <w:r w:rsidRPr="00AB15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5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4B" w:rsidP="00AB154B">
            <w:pPr>
              <w:pStyle w:val="BodyText"/>
            </w:pPr>
            <w:r w:rsidRPr="00AB154B">
              <w:t xml:space="preserve">Assessors must hold credentials specified within the Standards for Registered Training Organisations current at the time of assessment. </w:t>
            </w:r>
          </w:p>
          <w:p w:rsidR="00000000" w:rsidRPr="00AB154B" w:rsidP="00AB154B">
            <w:pPr>
              <w:pStyle w:val="BodyText"/>
            </w:pPr>
            <w:r w:rsidRPr="00AB15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B154B" w:rsidP="00AB154B">
            <w:pPr>
              <w:pStyle w:val="BodyText"/>
            </w:pPr>
            <w:r w:rsidRPr="00AB154B">
              <w:t>Assessment must occur in workplace operational</w:t>
            </w:r>
            <w:r w:rsidRPr="00AB154B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AB154B" w:rsidP="00AB154B">
            <w:pPr>
              <w:pStyle w:val="BodyText"/>
            </w:pPr>
            <w:r w:rsidRPr="00AB154B">
              <w:t xml:space="preserve">Assessment processes and techniques must be appropriate to the language, </w:t>
            </w:r>
            <w:r w:rsidRPr="00AB154B">
              <w:t>literacy and numeracy requirements of the work being performed and the needs of the candidate.</w:t>
            </w:r>
          </w:p>
          <w:p w:rsidR="00000000" w:rsidRPr="00AB154B" w:rsidP="00AB154B">
            <w:pPr>
              <w:pStyle w:val="BodyText"/>
            </w:pPr>
            <w:r w:rsidRPr="00AB154B">
              <w:t>Resources for assessment must include access to:</w:t>
            </w:r>
          </w:p>
          <w:p w:rsidR="00000000" w:rsidRPr="00AB154B" w:rsidP="00AB154B">
            <w:pPr>
              <w:pStyle w:val="ListBullet"/>
            </w:pPr>
            <w:r w:rsidRPr="00AB154B">
              <w:t>a range of relevant exercises, case studies and/or simulations</w:t>
            </w:r>
          </w:p>
          <w:p w:rsidR="00000000" w:rsidRPr="00AB154B" w:rsidP="00AB154B">
            <w:pPr>
              <w:pStyle w:val="ListBullet"/>
            </w:pPr>
            <w:r w:rsidRPr="00AB154B">
              <w:t>applicable documentation including regulations a</w:t>
            </w:r>
            <w:r w:rsidRPr="00AB154B">
              <w:t>nd codes of practice.</w:t>
            </w:r>
          </w:p>
        </w:tc>
      </w:tr>
    </w:tbl>
    <w:p w:rsidR="00386BB9" w:rsidP="00AB154B">
      <w:pPr>
        <w:pStyle w:val="NoPaddingFontSize1"/>
      </w:pPr>
    </w:p>
    <w:p w:rsidR="00386BB9" w:rsidP="00AB154B">
      <w:pPr>
        <w:pStyle w:val="NoPaddingFontSize1"/>
      </w:pPr>
    </w:p>
    <w:p w:rsidR="00000000" w:rsidRPr="00AB154B" w:rsidP="00AB154B">
      <w:pPr>
        <w:pStyle w:val="Heading1"/>
      </w:pPr>
      <w:bookmarkStart w:id="15" w:name="O_1232731"/>
      <w:bookmarkEnd w:id="15"/>
      <w:r w:rsidRPr="00AB154B">
        <w:t>Links</w:t>
      </w:r>
    </w:p>
    <w:p w:rsidR="00000000" w:rsidRPr="00AB154B" w:rsidP="00386BB9">
      <w:pPr>
        <w:pStyle w:val="BodyText"/>
      </w:pPr>
      <w:r w:rsidRPr="00AB15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2E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B154B" w:rsidP="00AB154B"/>
    <w:sectPr w:rsidSect="00AB15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 w:rsidRPr="00386BB9" w:rsidP="00386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B9" w:rsidP="00AB1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BB9" w:rsidP="00AB1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6BB9" w:rsidP="00AB15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 w:rsidP="00AB1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BB9">
      <w:t>Approved</w:t>
    </w:r>
    <w:r w:rsidR="00386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B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BB9">
      <w:rPr>
        <w:noProof/>
      </w:rPr>
      <w:t>4</w:t>
    </w:r>
    <w:r>
      <w:rPr>
        <w:noProof/>
      </w:rPr>
      <w:fldChar w:fldCharType="end"/>
    </w:r>
  </w:p>
  <w:p w:rsidR="00AB154B" w:rsidP="00AB1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BB9">
      <w:t>Industry Skills Australia</w:t>
    </w:r>
    <w:r w:rsidR="00386BB9">
      <w:fldChar w:fldCharType="end"/>
    </w:r>
  </w:p>
  <w:p w:rsidR="00AB154B" w:rsidP="00AB15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54B" w:rsidRPr="00386BB9" w:rsidP="00386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B9" w:rsidRPr="002D2AF8" w:rsidP="00AB1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TLIX0043 Determine indirect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BB9" w:rsidP="00AB15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4B" w:rsidRPr="002D2AF8" w:rsidP="00AB1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BB9">
      <w:t>TLIX0043 Determine indirect taxes</w:t>
    </w:r>
    <w:r w:rsidR="00386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BB9">
      <w:rPr>
        <w:noProof/>
      </w:rPr>
      <w:t>2 March 2025</w:t>
    </w:r>
    <w:r>
      <w:fldChar w:fldCharType="end"/>
    </w:r>
  </w:p>
  <w:p w:rsidR="00AB154B" w:rsidP="00AB15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0C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A5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229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5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5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5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5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5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5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5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5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5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5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5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54B"/>
  </w:style>
  <w:style w:type="character" w:customStyle="1" w:styleId="Heading1Char">
    <w:name w:val="Heading 1 Char"/>
    <w:basedOn w:val="DefaultParagraphFont"/>
    <w:link w:val="Heading1"/>
    <w:rsid w:val="00AB15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5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5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5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54B"/>
    <w:rPr>
      <w:b/>
      <w:spacing w:val="0"/>
    </w:rPr>
  </w:style>
  <w:style w:type="paragraph" w:styleId="ListBullet2">
    <w:name w:val="List Bullet 2"/>
    <w:basedOn w:val="List2"/>
    <w:rsid w:val="00AB15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5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5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15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5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5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5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5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5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5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5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5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5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5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5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5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5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5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5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5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5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5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5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5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5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5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5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5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5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5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5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54B"/>
    <w:rPr>
      <w:i/>
    </w:rPr>
  </w:style>
  <w:style w:type="paragraph" w:styleId="Caption">
    <w:name w:val="caption"/>
    <w:basedOn w:val="BodyText"/>
    <w:next w:val="Normal"/>
    <w:qFormat/>
    <w:rsid w:val="00AB15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5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5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54B"/>
  </w:style>
  <w:style w:type="paragraph" w:styleId="TableofFigures">
    <w:name w:val="table of figures"/>
    <w:basedOn w:val="Normal"/>
    <w:next w:val="Normal"/>
    <w:semiHidden/>
    <w:rsid w:val="00AB15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5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54B"/>
    <w:rPr>
      <w:rFonts w:ascii="Wingdings" w:hAnsi="Wingdings"/>
    </w:rPr>
  </w:style>
  <w:style w:type="paragraph" w:customStyle="1" w:styleId="TableHeading">
    <w:name w:val="Table Heading"/>
    <w:basedOn w:val="HeadingBase"/>
    <w:rsid w:val="00AB15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54B"/>
    <w:rPr>
      <w:color w:val="0033CC"/>
      <w:u w:val="none"/>
    </w:rPr>
  </w:style>
  <w:style w:type="paragraph" w:customStyle="1" w:styleId="BodyTextRight">
    <w:name w:val="Body Text Right"/>
    <w:basedOn w:val="BodyText"/>
    <w:rsid w:val="00AB15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5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5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5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5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5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54B"/>
    <w:rPr>
      <w:sz w:val="32"/>
    </w:rPr>
  </w:style>
  <w:style w:type="paragraph" w:customStyle="1" w:styleId="HeadingProcedure">
    <w:name w:val="Heading Procedure"/>
    <w:basedOn w:val="HeadingBase"/>
    <w:next w:val="Normal"/>
    <w:rsid w:val="00AB15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54B"/>
    <w:pPr>
      <w:spacing w:before="60" w:after="60"/>
    </w:pPr>
  </w:style>
  <w:style w:type="paragraph" w:styleId="ListContinue">
    <w:name w:val="List Continue"/>
    <w:basedOn w:val="List"/>
    <w:rsid w:val="00AB154B"/>
    <w:pPr>
      <w:ind w:firstLine="0"/>
    </w:pPr>
  </w:style>
  <w:style w:type="paragraph" w:customStyle="1" w:styleId="ListNote">
    <w:name w:val="List Note"/>
    <w:basedOn w:val="List"/>
    <w:rsid w:val="00AB15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5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5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54B"/>
    <w:rPr>
      <w:rFonts w:ascii="Courier New" w:hAnsi="Courier New"/>
    </w:rPr>
  </w:style>
  <w:style w:type="paragraph" w:customStyle="1" w:styleId="NoteBullet">
    <w:name w:val="Note Bullet"/>
    <w:basedOn w:val="Note"/>
    <w:rsid w:val="00AB15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5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5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5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5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5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5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54B"/>
    <w:rPr>
      <w:b/>
      <w:smallCaps/>
    </w:rPr>
  </w:style>
  <w:style w:type="paragraph" w:customStyle="1" w:styleId="TableListNumber">
    <w:name w:val="Table List Number"/>
    <w:basedOn w:val="ListNumber"/>
    <w:rsid w:val="00AB15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5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54B"/>
    <w:pPr>
      <w:numPr>
        <w:numId w:val="9"/>
      </w:numPr>
    </w:pPr>
  </w:style>
  <w:style w:type="paragraph" w:customStyle="1" w:styleId="ListAlpha2">
    <w:name w:val="List Alpha 2"/>
    <w:basedOn w:val="List2"/>
    <w:rsid w:val="00AB154B"/>
    <w:pPr>
      <w:numPr>
        <w:numId w:val="8"/>
      </w:numPr>
    </w:pPr>
  </w:style>
  <w:style w:type="paragraph" w:styleId="List2">
    <w:name w:val="List 2"/>
    <w:basedOn w:val="BodyText"/>
    <w:rsid w:val="00AB15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5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5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5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5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5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54B"/>
    <w:pPr>
      <w:numPr>
        <w:numId w:val="4"/>
      </w:numPr>
    </w:pPr>
  </w:style>
  <w:style w:type="paragraph" w:styleId="ListContinue2">
    <w:name w:val="List Continue 2"/>
    <w:basedOn w:val="List2"/>
    <w:rsid w:val="00AB154B"/>
    <w:pPr>
      <w:ind w:firstLine="0"/>
    </w:pPr>
  </w:style>
  <w:style w:type="paragraph" w:styleId="ListContinue3">
    <w:name w:val="List Continue 3"/>
    <w:basedOn w:val="List3"/>
    <w:rsid w:val="00AB154B"/>
    <w:pPr>
      <w:ind w:left="1021" w:firstLine="0"/>
    </w:pPr>
  </w:style>
  <w:style w:type="paragraph" w:styleId="ListContinue4">
    <w:name w:val="List Continue 4"/>
    <w:basedOn w:val="List4"/>
    <w:rsid w:val="00AB154B"/>
    <w:pPr>
      <w:ind w:firstLine="0"/>
    </w:pPr>
  </w:style>
  <w:style w:type="paragraph" w:styleId="ListContinue5">
    <w:name w:val="List Continue 5"/>
    <w:basedOn w:val="List5"/>
    <w:rsid w:val="00AB154B"/>
    <w:pPr>
      <w:ind w:firstLine="0"/>
    </w:pPr>
  </w:style>
  <w:style w:type="paragraph" w:styleId="ListNumber3">
    <w:name w:val="List Number 3"/>
    <w:basedOn w:val="List3"/>
    <w:rsid w:val="00AB154B"/>
    <w:pPr>
      <w:numPr>
        <w:numId w:val="5"/>
      </w:numPr>
    </w:pPr>
  </w:style>
  <w:style w:type="paragraph" w:styleId="ListNumber4">
    <w:name w:val="List Number 4"/>
    <w:basedOn w:val="List4"/>
    <w:rsid w:val="00AB154B"/>
    <w:pPr>
      <w:numPr>
        <w:numId w:val="6"/>
      </w:numPr>
    </w:pPr>
  </w:style>
  <w:style w:type="paragraph" w:styleId="ListNumber5">
    <w:name w:val="List Number 5"/>
    <w:basedOn w:val="List5"/>
    <w:rsid w:val="00AB154B"/>
    <w:pPr>
      <w:numPr>
        <w:numId w:val="7"/>
      </w:numPr>
    </w:pPr>
  </w:style>
  <w:style w:type="paragraph" w:styleId="BlockText">
    <w:name w:val="Block Text"/>
    <w:basedOn w:val="Normal"/>
    <w:rsid w:val="00AB15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5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54B"/>
    <w:rPr>
      <w:sz w:val="16"/>
      <w:vertAlign w:val="superscript"/>
    </w:rPr>
  </w:style>
  <w:style w:type="character" w:customStyle="1" w:styleId="Symbols">
    <w:name w:val="Symbols"/>
    <w:basedOn w:val="DefaultParagraphFont"/>
    <w:rsid w:val="00AB154B"/>
    <w:rPr>
      <w:rFonts w:ascii="Symbol" w:hAnsi="Symbol"/>
    </w:rPr>
  </w:style>
  <w:style w:type="character" w:customStyle="1" w:styleId="MenuOptions">
    <w:name w:val="Menu Options"/>
    <w:basedOn w:val="DefaultParagraphFont"/>
    <w:rsid w:val="00AB15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54B"/>
    <w:rPr>
      <w:b/>
    </w:rPr>
  </w:style>
  <w:style w:type="character" w:customStyle="1" w:styleId="Underlined">
    <w:name w:val="Underlined"/>
    <w:basedOn w:val="DefaultParagraphFont"/>
    <w:rsid w:val="00AB154B"/>
    <w:rPr>
      <w:u w:val="single"/>
    </w:rPr>
  </w:style>
  <w:style w:type="paragraph" w:customStyle="1" w:styleId="TableBodyTextRight">
    <w:name w:val="Table Body Text Right"/>
    <w:basedOn w:val="TableBodyText"/>
    <w:rsid w:val="00AB15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54B"/>
    <w:rPr>
      <w:sz w:val="18"/>
    </w:rPr>
  </w:style>
  <w:style w:type="paragraph" w:customStyle="1" w:styleId="BodySmallRight">
    <w:name w:val="Body Small Right"/>
    <w:basedOn w:val="BodyTextRight"/>
    <w:rsid w:val="00AB154B"/>
    <w:rPr>
      <w:sz w:val="18"/>
      <w:szCs w:val="18"/>
    </w:rPr>
  </w:style>
  <w:style w:type="paragraph" w:customStyle="1" w:styleId="MarginEdition">
    <w:name w:val="Margin Edition"/>
    <w:basedOn w:val="MarginNote"/>
    <w:rsid w:val="00AB15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54B"/>
    <w:rPr>
      <w:sz w:val="2"/>
      <w:szCs w:val="2"/>
    </w:rPr>
  </w:style>
  <w:style w:type="character" w:customStyle="1" w:styleId="Small">
    <w:name w:val="Small"/>
    <w:basedOn w:val="DefaultParagraphFont"/>
    <w:rsid w:val="00AB154B"/>
    <w:rPr>
      <w:sz w:val="16"/>
    </w:rPr>
  </w:style>
  <w:style w:type="paragraph" w:customStyle="1" w:styleId="WideTable">
    <w:name w:val="Wide Table"/>
    <w:basedOn w:val="Normal"/>
    <w:rsid w:val="00AB15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54B"/>
  </w:style>
  <w:style w:type="paragraph" w:styleId="Quote">
    <w:name w:val="Quote"/>
    <w:basedOn w:val="Heading1"/>
    <w:link w:val="QuoteChar"/>
    <w:qFormat/>
    <w:rsid w:val="00AB15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5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54B"/>
    <w:pPr>
      <w:pageBreakBefore/>
    </w:pPr>
  </w:style>
  <w:style w:type="paragraph" w:customStyle="1" w:styleId="Border">
    <w:name w:val="Border"/>
    <w:basedOn w:val="Normal"/>
    <w:qFormat/>
    <w:rsid w:val="00AB15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5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5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5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5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5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5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5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54B"/>
    <w:rPr>
      <w:u w:val="single"/>
    </w:rPr>
  </w:style>
  <w:style w:type="character" w:customStyle="1" w:styleId="BoldandItalics">
    <w:name w:val="Bold and Italics"/>
    <w:qFormat/>
    <w:rsid w:val="00AB154B"/>
    <w:rPr>
      <w:b/>
      <w:i/>
      <w:u w:val="none"/>
    </w:rPr>
  </w:style>
  <w:style w:type="paragraph" w:styleId="BalloonText">
    <w:name w:val="Balloon Text"/>
    <w:basedOn w:val="Normal"/>
    <w:link w:val="BalloonTextChar"/>
    <w:rsid w:val="00AB1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5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5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5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5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5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54B"/>
    <w:pPr>
      <w:spacing w:before="0" w:after="0"/>
    </w:pPr>
  </w:style>
  <w:style w:type="paragraph" w:customStyle="1" w:styleId="BodyTextBold">
    <w:name w:val="Body Text Bold"/>
    <w:basedOn w:val="BodyText"/>
    <w:qFormat/>
    <w:rsid w:val="00AB154B"/>
    <w:rPr>
      <w:b/>
    </w:rPr>
  </w:style>
  <w:style w:type="character" w:styleId="Hyperlink">
    <w:name w:val="Hyperlink"/>
    <w:basedOn w:val="DefaultParagraphFont"/>
    <w:uiPriority w:val="99"/>
    <w:unhideWhenUsed/>
    <w:rsid w:val="00386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4636</Characters>
  <Application>Microsoft Office Word</Application>
  <DocSecurity>0</DocSecurity>
  <Lines>171</Lines>
  <Paragraphs>102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TLIX0043 Determine indirect taxes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